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88R4633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340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sales and use tax exemption for child and adult diapers.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151, Tax Code, is amended by adding Section 151.3133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151.3133.</w:t>
      </w:r>
      <w:r>
        <w:rPr>
          <w:u w:val="single"/>
        </w:rPr>
        <w:t xml:space="preserve"> </w:t>
      </w:r>
      <w:r>
        <w:rPr>
          <w:u w:val="single"/>
        </w:rPr>
        <w:t xml:space="preserve"> </w:t>
      </w:r>
      <w:r>
        <w:rPr>
          <w:u w:val="single"/>
        </w:rPr>
        <w:t xml:space="preserve">CHILD AND ADULT DIAPERS.  (a) </w:t>
      </w:r>
      <w:r>
        <w:rPr>
          <w:u w:val="single"/>
        </w:rPr>
        <w:t xml:space="preserve"> </w:t>
      </w:r>
      <w:r>
        <w:rPr>
          <w:u w:val="single"/>
        </w:rPr>
        <w:t xml:space="preserve">In this section, "diaper" means an absorbent garment worn by humans who are incapable of, or have difficulty, controlling their bladder or bowel movements.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or storage, use, or other consumption of a diaper is exempted from the taxes imposed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taxes imposed before the effective date of this Act, and the law in effect before the effective date of this Act is continued in effect for purposes of the liability for and collection of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Subject to Subsection (b) of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This Act takes effect only if legislation proposed by the 88th Legislature, Regular Session, 2023, that provides for the imposition of a tax on certain electronic nicotine delivery systems, is enacted and becomes law. </w:t>
      </w:r>
      <w:r>
        <w:t xml:space="preserve"> </w:t>
      </w:r>
      <w:r>
        <w:t xml:space="preserve">If legislation described by this section is not enacted or does not become law,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