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West</w:t>
      </w:r>
      <w:r xml:space="preserve">
        <w:tab wTab="150" tlc="none" cTlc="0"/>
      </w:r>
      <w:r>
        <w:t xml:space="preserve">S.B.</w:t>
      </w:r>
      <w:r xml:space="preserve">
        <w:t> </w:t>
      </w:r>
      <w:r>
        <w:t xml:space="preserve">No.</w:t>
      </w:r>
      <w:r xml:space="preserve">
        <w:t> </w:t>
      </w:r>
      <w:r>
        <w:t xml:space="preserve">341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the mixed beverage gross receipts tax and the mixed beverage sales tax to items sold by certain nonprofit entity temporary event permittees.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183.001(b)(1), Tax Code, is amended to read as follows:</w:t>
      </w:r>
    </w:p>
    <w:p w:rsidR="003F3435" w:rsidRDefault="0032493E">
      <w:pPr>
        <w:spacing w:line="480" w:lineRule="auto"/>
        <w:ind w:firstLine="1440"/>
        <w:jc w:val="both"/>
      </w:pPr>
      <w:r>
        <w:t xml:space="preserve">(1)</w:t>
      </w:r>
      <w:r xml:space="preserve">
        <w:t> </w:t>
      </w:r>
      <w:r xml:space="preserve">
        <w:t> </w:t>
      </w:r>
      <w:r>
        <w:t xml:space="preserve">"Permittee" means a mixed beverage permittee, a private club registration permittee, a private club exemption certificate permittee, a private club registration permittee with a retailer late hours certificate, a nonprofit entity temporary event permittee, a private club registration permittee holding a food and beverage certificate, a mixed beverage permittee with a retailer late hours certificate, a mixed beverage permittee holding a food and beverage certificate, or a distiller's and rectifier's permittee.  </w:t>
      </w:r>
      <w:r>
        <w:rPr>
          <w:u w:val="single"/>
        </w:rPr>
        <w:t xml:space="preserve">The term does not include a nonprofit entity temporary event permittee that sells only wine and malt beverages containing alcohol in excess of one-half of one percent by volume but not more than 17 percent by volume.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