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88R3180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343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eligibility for Medicaid to all individuals for whom federal matching money is available.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531.02121.</w:t>
      </w:r>
      <w:r>
        <w:rPr>
          <w:u w:val="single"/>
        </w:rPr>
        <w:t xml:space="preserve"> </w:t>
      </w:r>
      <w:r>
        <w:rPr>
          <w:u w:val="single"/>
        </w:rPr>
        <w:t xml:space="preserve"> </w:t>
      </w:r>
      <w:r>
        <w:rPr>
          <w:u w:val="single"/>
        </w:rPr>
        <w:t xml:space="preserve">EXPANDED ELIGIBILITY FOR MEDICAID.  The executive commissioner shall prepare and seek a waiver to the state Medicaid plan under Section 1115 of the Social Security Act (42 U.S.C. Section 1315) or other applicable federal law to expand to the maximum extent permitted by federal law the categories of individuals eligible for Medicaid benefits to include all individuals for whom federal matching funds are available. The waiver must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maximize the reduction in the number of uninsured residents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promote personal responsibility with respect to health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increase the efficiency of the delivery of health care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increase the accessibility of health care services;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reduce health care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apply for and actively pursue the waiver required by Section 531.02121, Government Code, as added by this Act, from the Centers for Medicare and Medicaid Services or any other federal agency. The commission may delay implementing Section 531.02121, Government Code, as added by this Act, until the waiver applied for under this section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