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347</w:t>
      </w:r>
    </w:p>
    <w:p w:rsidR="003F3435" w:rsidRDefault="0032493E">
      <w:pPr>
        <w:ind w:firstLine="720"/>
        <w:jc w:val="both"/>
      </w:pPr>
      <w:r>
        <w:t xml:space="preserve">(Harless)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extension of a driver's license suspension or disqualification following certain convictions.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521.343(c),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license holder is convicted of operating a motor vehicle while the license to operate a motor vehicle is cancelled, disqualified, suspended, revoked, or denied, the period is extended for </w:t>
      </w:r>
      <w:r>
        <w:rPr>
          <w:u w:val="single"/>
        </w:rPr>
        <w:t xml:space="preserve">90 days</w:t>
      </w:r>
      <w:r>
        <w:t xml:space="preserve"> [</w:t>
      </w:r>
      <w:r>
        <w:rPr>
          <w:strike/>
        </w:rPr>
        <w:t xml:space="preserve">the same term as the original suspension or disqualification</w:t>
      </w:r>
      <w:r>
        <w:t xml:space="preserve">], in addition to any penalty assessed under this chapter or Chapter 522.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determination of suspension or disqualification made by the Department of Public Safety on or after the effective date of this Act.  A determination made before the effective date of this Act is governed by the law in effect when the determination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