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347</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4,</w:t>
      </w:r>
      <w:r xml:space="preserve">
        <w:t> </w:t>
      </w:r>
      <w:r>
        <w:t xml:space="preserve">2023; February</w:t>
      </w:r>
      <w:r xml:space="preserve">
        <w:t> </w:t>
      </w:r>
      <w:r>
        <w:t xml:space="preserve">15,</w:t>
      </w:r>
      <w:r xml:space="preserve">
        <w:t> </w:t>
      </w:r>
      <w:r>
        <w:t xml:space="preserve">2023, read first time and referred to Committee on Transportation; March</w:t>
      </w:r>
      <w:r xml:space="preserve">
        <w:t> </w:t>
      </w:r>
      <w:r>
        <w:t xml:space="preserve">15,</w:t>
      </w:r>
      <w:r xml:space="preserve">
        <w:t> </w:t>
      </w:r>
      <w:r>
        <w:t xml:space="preserve">2023, reported favorably by the following vote:</w:t>
      </w:r>
      <w:r>
        <w:t xml:space="preserve"> </w:t>
      </w:r>
      <w:r>
        <w:t xml:space="preserve"> </w:t>
      </w:r>
      <w:r>
        <w:t xml:space="preserve">Yeas 8, Nays 0; March</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extension of a driver's license suspension or disqualification following certain convictions.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521.343(c), Transportation Code, is amended to read as follows:</w:t>
      </w:r>
    </w:p>
    <w:p w:rsidR="003F3435" w:rsidRDefault="0032493E">
      <w:pPr>
        <w:spacing w:line="480" w:lineRule="auto"/>
        <w:ind w:firstLine="720"/>
        <w:jc w:val="both"/>
      </w:pPr>
      <w:r>
        <w:t xml:space="preserve">(c)</w:t>
      </w:r>
      <w:r xml:space="preserve">
        <w:t> </w:t>
      </w:r>
      <w:r xml:space="preserve">
        <w:t> </w:t>
      </w:r>
      <w:r>
        <w:t xml:space="preserve">If the license holder is convicted of operating a motor vehicle while the license to operate a motor vehicle is cancelled, disqualified, suspended, revoked, or denied, the period is extended for </w:t>
      </w:r>
      <w:r>
        <w:rPr>
          <w:u w:val="single"/>
        </w:rPr>
        <w:t xml:space="preserve">90 days</w:t>
      </w:r>
      <w:r>
        <w:t xml:space="preserve"> [</w:t>
      </w:r>
      <w:r>
        <w:rPr>
          <w:strike/>
        </w:rPr>
        <w:t xml:space="preserve">the same term as the original suspension or disqualification</w:t>
      </w:r>
      <w:r>
        <w:t xml:space="preserve">], in addition to any penalty assessed under this chapter or Chapter 522.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determination of suspension or disqualification made by the Department of Public Safety on or after the effective date of this Act.  A determination made before the effective date of this Act is governed by the law in effect when the determination was made,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