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honorably retired peace officers as school district security personnel and the applicability to those officers of certain law governing private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an honorably retired peace officer, as that term is defined by Section 614.121, Government Code</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1702.322, Occupations Code, is amended to read as follows:</w:t>
      </w:r>
    </w:p>
    <w:p w:rsidR="003F3435" w:rsidRDefault="0032493E">
      <w:pPr>
        <w:spacing w:line="480" w:lineRule="auto"/>
        <w:ind w:firstLine="720"/>
        <w:jc w:val="both"/>
      </w:pPr>
      <w:r>
        <w:t xml:space="preserve">Sec.</w:t>
      </w:r>
      <w:r xml:space="preserve">
        <w:t> </w:t>
      </w:r>
      <w:r>
        <w:t xml:space="preserve">1702.322.</w:t>
      </w:r>
      <w:r xml:space="preserve">
        <w:t> </w:t>
      </w:r>
      <w:r xml:space="preserve">
        <w:t> </w:t>
      </w:r>
      <w:r>
        <w:t xml:space="preserve">LAW ENFORCEMENT PERSONNEL.</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w:t>
      </w:r>
      <w:r>
        <w:rPr>
          <w:u w:val="single"/>
        </w:rPr>
        <w:t xml:space="preserve">is a peace officer or an honorably retired peace officer, as that term is defined by Section 614.121, Government Code,</w:t>
      </w:r>
      <w:r>
        <w:t xml:space="preserve"> [</w:t>
      </w:r>
      <w:r>
        <w:rPr>
          <w:strike/>
        </w:rPr>
        <w:t xml:space="preserve">has full-time employment as a peace officer</w:t>
      </w:r>
      <w:r>
        <w:t xml:space="preserve">]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 not a reserve peace officer;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works as a peace officer on the average of at least 32 hours a week,</w:t>
      </w:r>
      <w:r>
        <w:t xml:space="preserve">] is compensated [</w:t>
      </w:r>
      <w:r>
        <w:rPr>
          <w:strike/>
        </w:rPr>
        <w:t xml:space="preserve">by the state or a political subdivision of the state</w:t>
      </w:r>
      <w:r>
        <w:t xml:space="preserve">] at least at the minimum wage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peace officer</w:t>
      </w:r>
      <w:r>
        <w:t xml:space="preserve">, </w:t>
      </w:r>
      <w:r>
        <w:rPr>
          <w:u w:val="single"/>
        </w:rPr>
        <w:t xml:space="preserve">the state or a political subdivision of the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 honorably retired peace officer, a school district;</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is entitled to all employee benefits offered to a peace officer by the state or political subdivision </w:t>
      </w:r>
      <w:r>
        <w:rPr>
          <w:u w:val="single"/>
        </w:rPr>
        <w:t xml:space="preserve">described by Paragraph (C)</w:t>
      </w:r>
      <w:r>
        <w:t xml:space="preserve">;</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