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88R4144 DRS-F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367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person considered to be displaced for purposes of a relocation assistance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21.046, Property Code, is amended by amending Subsection (e) and adding Subsection (f)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provided by Subsection (f), if</w:t>
      </w:r>
      <w:r>
        <w:t xml:space="preserve"> [</w:t>
      </w:r>
      <w:r>
        <w:rPr>
          <w:strike/>
        </w:rPr>
        <w:t xml:space="preserve">If</w:t>
      </w:r>
      <w:r>
        <w:t xml:space="preserve">] a person moves or discontinues the person's business, moves personal property, or moves from the person's dwelling as a direct result of code enforcement, rehabilitation, or a demolition program, the person is considered to be displaced because of the acquisition of real property.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is not considered to be displaced in connection with an acquisition of real property for purposes of Subsection (b)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moves or discontinues the person's business, moves personal property, or moves from the person's dwelling as a direct result of code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code enforcement is due to the person's negligence or abandonment of the person's real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21.046, Property Code, as amended by this Act, applies only to the acquisition of real property initiated by this state or a political subdivision of this state on or after the effective date of this Act.</w:t>
      </w:r>
      <w:r xml:space="preserve">
        <w:t> </w:t>
      </w:r>
      <w:r xml:space="preserve">
        <w:t> </w:t>
      </w:r>
      <w:r>
        <w:t xml:space="preserve">Acquisition of real property initiated before the effective date of this Act is governed by the law as it existed immediately before that date,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