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369</w:t>
      </w:r>
    </w:p>
    <w:p w:rsidR="003F3435" w:rsidRDefault="0032493E">
      <w:pPr>
        <w:ind w:firstLine="720"/>
        <w:jc w:val="both"/>
      </w:pPr>
      <w:r>
        <w:t xml:space="preserve">(Craddick,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369:</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C.S.S.B.</w:t>
      </w:r>
      <w:r xml:space="preserve">
        <w:t> </w:t>
      </w:r>
      <w:r>
        <w:t xml:space="preserve">No.</w:t>
      </w:r>
      <w:r xml:space="preserve">
        <w:t> </w:t>
      </w:r>
      <w:r>
        <w:t xml:space="preserve">369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disannexation of certain areas that do not receive full municipal services;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43, Local Government Code, is amended by adding Section 43.1415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43.1415.</w:t>
      </w:r>
      <w:r>
        <w:rPr>
          <w:u w:val="single"/>
        </w:rPr>
        <w:t xml:space="preserve"> </w:t>
      </w:r>
      <w:r>
        <w:rPr>
          <w:u w:val="single"/>
        </w:rPr>
        <w:t xml:space="preserve"> </w:t>
      </w:r>
      <w:r>
        <w:rPr>
          <w:u w:val="single"/>
        </w:rPr>
        <w:t xml:space="preserve">DISANNEXATION OF AREAS NOT RECEIVING FULL SERVICES.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"full municipal services"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police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fire protection;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provision of solid waste collection, other than those services that a municipality is not required to provide under Section 43.056(o) to an area subject to that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except as provided by Subsection (b), the operation and maintenance of water and wastewater facilities in an area not served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holder of a certificate of convenience and necessity, other than the municipality or a municipally owned utility;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septic system and an individual water well;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operation and maintenance of roads and streets and lighting for roads and streets, other than private roads and streets;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operation and maintenance of any other facility, building, or service owned by the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municipality: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currently required to provide full municipal services under a service plan described by Section 43.056;</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due to the pendency of an application for a permit from the Texas Commission on Environmental Quality or other state agency, is not yet able to operate and maintain water and wastewater facilities;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entered into a regulatory plan or other written agreement to extend the time for providing or waive provision of full municipal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 the boundaries of or owned by a county or municipal airport established, acquired, maintained, or operated under Chapter 22, Transportation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located in an airport hazard area, as that term is defined by Section 241.003.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owning real property that is subject to ad valorem taxation by a municipality and is wholly or partly located in an area in which the municipality is not providing or causing the provision of full municipal services may file a complaint with the municipality. A property owner filing a complaint under this subsection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the complaint: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certified mail;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municipality maintains an Internet website, through an online portal on the municipality's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relevant documentation to support the owner's claim.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60th day after the date a complaint from a property owner is filed with a municipality under Subsection (c), the municipality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owner a response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statement of whether full municipal services are being provided to the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documentation identifying the services that have been provided to the property during the past year,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manner in which the services were provided;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location at which services were provided;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documentation identifying the services that are not being provided to the property at the time the response is provided;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municipality determines that the property is not receiving full municipal services, provide a plan of action for the provision of full municipal services to the property as provided by Subsection (g).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complaint by a property owner under Subsection (c) and a response to a property owner by a municipality under Subsection (d), including a plan of action for the provision of full municipal services, is public information that is subject to disclosure under Chapter 552,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municipality that receives a complaint under Subsection (c) fails to respond to the owner within the time required by Subsection (d), the property owner may file a complaint with the attorney general for enforcement of a civil penalty against the municipality in the amount of $500 for each day after the 60th day after the date the complaint was filed with the municipality. The attorney general may sue to collect a civil penalty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subsection, "major infrastructure project" means a project to construct a new physical infrastructure, energy, transportation, water, wastewater, or waste disposal facility. A municipality that provides a plan of action to a property owner under Subsection (d)(2) shall complete implementation of the plan of action not later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first anniversary of the date of the complaint;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third anniversary of the date of the complaint, if the plan of action depends on the completion of a major infrastructure project that relates to the provision of services in the area in which the property that is the subject of the complaint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property owner who files a complaint under Subsection (c) may bring an action, or request that the attorney general bring an action, to enforce this section.</w:t>
      </w:r>
      <w:r>
        <w:rPr>
          <w:u w:val="single"/>
        </w:rPr>
        <w:t xml:space="preserve"> </w:t>
      </w:r>
      <w:r>
        <w:rPr>
          <w:u w:val="single"/>
        </w:rPr>
        <w:t xml:space="preserve"> </w:t>
      </w:r>
      <w:r>
        <w:rPr>
          <w:u w:val="single"/>
        </w:rPr>
        <w:t xml:space="preserve">An action brought under this subsection must be brought in a court with jurisdiction over the area in which the property that is the subject of the complaint is located.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municipality to hold an election on the question of disannexing the area from the municipality if the court finds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property in the area is not receiving full municipal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municipality is required to provide a plan of action to a property owner in the area under Subsection (d)(2)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failed to provide the plan of action;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failed to implement the plan of action within the required period under Subsection (g);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not later than the third anniversary of the date of the complaint, the municipality is not providing or causing the provision of full municipal services to the area in which the property is wholly or partly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and include in the order entered under Subdivision (1) the boundaries of the area within which the voters of the municipality may participate in the election.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municipality shall disannex an area described by Subsection (h)(2) if the voters approve the disannexation in the election held under Subsection (h).</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 property owner brings an action under Subsection (h) and a court orders an election under that subsection, the property owner may recover attorney's fees and court costs resulting from bringing the action.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municipality's governmental immunity to suit and governmental immunity from liability are waived to the extent of liability created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