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88R2824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369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disannexation of certain areas that do not receive full municipal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43, Local Government Code, is amended by adding Section 43.1415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43.1415.</w:t>
      </w:r>
      <w:r>
        <w:rPr>
          <w:u w:val="single"/>
        </w:rPr>
        <w:t xml:space="preserve"> </w:t>
      </w:r>
      <w:r>
        <w:rPr>
          <w:u w:val="single"/>
        </w:rPr>
        <w:t xml:space="preserve"> </w:t>
      </w:r>
      <w:r>
        <w:rPr>
          <w:u w:val="single"/>
        </w:rPr>
        <w:t xml:space="preserve">DISANNEXATION OF CERTAIN AREAS NOT RECEIVING FULL SERVICES.  (a) </w:t>
      </w:r>
      <w:r>
        <w:rPr>
          <w:u w:val="single"/>
        </w:rPr>
        <w:t xml:space="preserve"> </w:t>
      </w:r>
      <w:r>
        <w:rPr>
          <w:u w:val="single"/>
        </w:rPr>
        <w:t xml:space="preserve">In this section, "full municipal services"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provision of police protection;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provision of fire protection, including fire hydrants;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provision of emergency medical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provision of solid waste collection, other than those services that a municipality is not required to provide under Section 43.056(o) to an area subject to that section;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operation and maintenance of water and wastewater facilities;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operation and maintenance of roads and streets, including road and street lighting;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operation and maintenance of any other facility, building, or service owned by the municipality.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an area for which the municipality: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currently required to provide full municipal services under a service plan described by Section 43.056;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entered into a regulatory plan or other written agreement to extend the time for providing or waive provision of full municipal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on December 31, 2023, any area in which the municipality is not providing or causing the provision of full municipal services is disannexed.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municipality fails or refuses to recognize the disannexation of an area under this section, a person owning real property wholly or partly located in the area may bring an action against the municipality to compel disannexation of the portion of the property located in the municipality. If the person prevails, the person may recover attorney's fees and court costs resulting from bringing the action.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municipality's governmental immunity to suit and governmental immunity from liability are waived to the extent of liability created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