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371</w:t>
      </w:r>
    </w:p>
    <w:p w:rsidR="003F3435" w:rsidRDefault="0032493E">
      <w:pPr>
        <w:ind w:firstLine="720"/>
        <w:jc w:val="both"/>
      </w:pPr>
      <w:r>
        <w:t xml:space="preserve">(Turner, Plesa, González of El Paso, Garcia)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w:t>
      </w:r>
      <w:r>
        <w:t xml:space="preserve"> [</w:t>
      </w:r>
      <w:r>
        <w:rPr>
          <w:strike/>
        </w:rPr>
        <w:t xml:space="preserve">four years</w:t>
      </w:r>
      <w:r>
        <w:t xml:space="preserve">] of ROTC training </w:t>
      </w:r>
      <w:r>
        <w:rPr>
          <w:u w:val="single"/>
        </w:rPr>
        <w:t xml:space="preserve">for each year that the student receives the scholarship;</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