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88R3153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Campbell</w:t>
      </w:r>
      <w:r xml:space="preserve">
        <w:tab wTab="150" tlc="none" cTlc="0"/>
      </w:r>
      <w:r>
        <w:t xml:space="preserve">S.B.</w:t>
      </w:r>
      <w:r xml:space="preserve">
        <w:t> </w:t>
      </w:r>
      <w:r>
        <w:t xml:space="preserve">No.</w:t>
      </w:r>
      <w:r xml:space="preserve">
        <w:t> </w:t>
      </w:r>
      <w:r>
        <w:t xml:space="preserve">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 of ROTC training for each year that the student is enrolled in a degree or certificate program at a public or private institution of higher education in this state, up to a maximum requirement of</w:t>
      </w:r>
      <w:r>
        <w:t xml:space="preserve"> four years of ROTC training</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as amended by this Act, applies beginning with a Texas Armed Services Scholarship awarded for the 2024-2025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