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375</w:t>
      </w:r>
    </w:p>
    <w:p w:rsidR="003F3435" w:rsidRDefault="0032493E">
      <w:pPr>
        <w:ind w:firstLine="720"/>
        <w:jc w:val="both"/>
      </w:pPr>
      <w:r>
        <w:t xml:space="preserve">(Darby)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senatorial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Senate in 2022, established by Chapter 5 (S.B. 4), Acts of the 87th Legislature, 3rd Called Session, 2021 (PLANS2168 in the Texas Legislature's redistricting system), are hereby ratified and adopted as the permanent districts used to elect members of the Texas Senate.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finds that the districts described by SECTION 2 of this Act are a continuation of the districts used for the election of the members of the Senate of the 88th Legislature.  Accordingly, the legislature finds that enactment of this Act does not require a new senate be chosen for the 89th Legislature for purposes of Section 3, Article III, Texas Constitution.  The legislature's findings expressed in this section are consistent with the opinion of the court of appeals in </w:t>
      </w:r>
      <w:r>
        <w:rPr>
          <w:u w:val="single"/>
        </w:rPr>
        <w:t xml:space="preserve">Armbrister v. Morales</w:t>
      </w:r>
      <w:r>
        <w:t xml:space="preserve">, 943 S.W.2d 202 (Tex. App.-Austin 1997, no pet.).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described by SECTION 2 of this Act apply to the election of the members of the Texas Senate beginning with the primary and general elections in 2024 for members of the 89th Legislature.  This Act does not affect the membership or districts of the Senate of the 88th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