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88R3921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384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of clear aligners.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431, Health and Safety Code, is amended by adding Section 431.024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431.024.</w:t>
      </w:r>
      <w:r>
        <w:rPr>
          <w:u w:val="single"/>
        </w:rPr>
        <w:t xml:space="preserve"> </w:t>
      </w:r>
      <w:r>
        <w:rPr>
          <w:u w:val="single"/>
        </w:rPr>
        <w:t xml:space="preserve"> </w:t>
      </w:r>
      <w:r>
        <w:rPr>
          <w:u w:val="single"/>
        </w:rPr>
        <w:t xml:space="preserve">SALE OF CLEAR ALIGNERS.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"Clear aligner" means a medical device, excluding a retainer used to keep teeth in a fixed position,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in orthodontic treatment to gradually move a patient's teeth or jaw and correct a misalignment;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manufactured to address the patient's unique orthodontic needs.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"Dentist" means a person licensed to practice dentistry in this state under Subtitle D, Title 3,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sell a clear aligner to a patient in this state unless the person has received written or electronic confirmation from a dentist that the patient has received: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intraoral or extraoral dental examination;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review of new or recently conducted x-rays, panoramic x-rays, computed tomography, bone imaging scans, or other appropriate diagnostic imaging sufficient to allow the dentist to detect conditions in the patient that would preclude or contraindicate the provision of safe orthodontic treatment,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untreated caries;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gingivitis and periodontal disease;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issues with the roots of teeth in the periodontium, including short roots;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presence of an osseointegrated dental implant or other fixed dental appliance;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fractured, cracked, or split teeth or roots;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prescription for a clear aligner issued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dentist who provided the examination described by Subsection (b)(1) and reviewed the appropriate diagnostic imaging described by Subsection (b)(2);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dentist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will conduct and monitor the patient's orthodontic treatment;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either: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received a referral from the patient's dentist described by Paragraph (A);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requested, received, and maintained clearance for orthodontic treatment from the patient's dentist described by Paragraph (A);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(c), counsel by a dentist described by Subdivision (3) regarding available orthodontic treatment options and the risks associated with those treatments.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required counsel under Subsection (b)(4) is valid only if the patient acknowledges and verifies in writing, with the patient's signature, that the patient has received the counsel.  The dentist providing the required counsel shall attach and maintain the patient's written acknowledgment of counsel in the patient's file.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sells a clear aligner to a patient shall maintain any documents received under Subsection (b) for not less than seven years after the date of sale.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431.024, Health and Safety Code, as added by this Act, applies only to a clear aligner sold on or after the effective date of this Act.  A clear aligner sold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