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88R3626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impoundment of a vehicle used in the commission of  the offense of racing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545.420(i),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w:t>
      </w:r>
      <w:r>
        <w:rPr>
          <w:strike/>
        </w:rPr>
        <w:t xml:space="preserve">This subsection applies only to a motor vehicle used in the commission of an offense under this section that results in an accident with property damage or personal injury.</w:t>
      </w:r>
      <w:r>
        <w:t xml:space="preserve">]</w:t>
      </w:r>
      <w:r xml:space="preserve">
        <w:t> </w:t>
      </w:r>
      <w:r xml:space="preserve">
        <w:t> </w:t>
      </w:r>
      <w:r>
        <w:t xml:space="preserve">A peace officer shall require </w:t>
      </w:r>
      <w:r>
        <w:rPr>
          <w:u w:val="single"/>
        </w:rPr>
        <w:t xml:space="preserve">a</w:t>
      </w:r>
      <w:r>
        <w:t xml:space="preserve"> [</w:t>
      </w:r>
      <w:r>
        <w:rPr>
          <w:strike/>
        </w:rPr>
        <w:t xml:space="preserve">the</w:t>
      </w:r>
      <w:r>
        <w:t xml:space="preserve">] vehicle </w:t>
      </w:r>
      <w:r>
        <w:rPr>
          <w:u w:val="single"/>
        </w:rPr>
        <w:t xml:space="preserve">used in the commission of an offense under Subsection (a)</w:t>
      </w:r>
      <w:r>
        <w:t xml:space="preserv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18.23, Code of Criminal Procedure, the owner of a [</w:t>
      </w:r>
      <w:r>
        <w:rPr>
          <w:strike/>
        </w:rPr>
        <w:t xml:space="preserve">motor</w:t>
      </w:r>
      <w:r>
        <w:t xml:space="preserve">] vehicle that is removed or stored under this subsection is liable for all removal and storage fees incurred and is not entitled to take possession of the vehicle until those fees are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