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88R4761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rights in public education and prohibiting instruction regarding sexual orientation or gender identity for public school students; authorizing a civil remedy.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t xml:space="preserve">COMPLAINTS</w:t>
      </w:r>
      <w:r>
        <w:rPr>
          <w:u w:val="single"/>
        </w:rPr>
        <w:t xml:space="preserve">; CIVIL REMEDY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26.011, Education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grievance procedure adopted under this section must require that, not later than the 30th day after receipt of a complaint described by Subsection (a), the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resolve the issue that gave rise to the complaint;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parent who submitted the complaint a written explanation of the district's reason for not resolving the issue.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does not resolve an issue described by Subsection (c)(1), the parent may bring a civil action against the district to obtain appropriate injunctive and declaratory relief. A court may award damages and shall award reasonable attorney's fees and court costs to a prevailing parent. Remedies provided by this subsection are not exclusive.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of trustees of each school district shall adopt a policy for notifying parents of students enrolled in the district regarding the grievance procedure adopted by the district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26, Education Code, is amended by adding Sections 26.0083, 26.0084, and 26.016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w:t>
      </w:r>
      <w:r>
        <w:rPr>
          <w:u w:val="single"/>
        </w:rPr>
        <w:t xml:space="preserve"> </w:t>
      </w:r>
      <w:r>
        <w:rPr>
          <w:u w:val="single"/>
        </w:rPr>
        <w:t xml:space="preserve">(a)  Each school district shall adopt a procedure for notifying the parent of a student enrolled in the district regarding any change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services provided to or monitoring of the student related to the student's mental, emotional, or physical health or well-being;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ability to provide a safe and supportive learning environment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education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or a student support form, including a student well-being questionnaire or health screening form,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w:t>
      </w:r>
      <w:r>
        <w:rPr>
          <w:u w:val="single"/>
        </w:rPr>
        <w:t xml:space="preserve"> </w:t>
      </w:r>
      <w:r>
        <w:rPr>
          <w:u w:val="single"/>
        </w:rPr>
        <w:t xml:space="preserve">The notice must include a statement of the parent's right to withhold consent for or decline a health-related service. </w:t>
      </w:r>
      <w:r>
        <w:rPr>
          <w:u w:val="single"/>
        </w:rPr>
        <w:t xml:space="preserve"> </w:t>
      </w:r>
      <w:r>
        <w:rPr>
          <w:u w:val="single"/>
        </w:rPr>
        <w:t xml:space="preserve">A parent's consent to a health-related service does not waive a requirement of Subsection (a), (c), or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administering a student support form to a student, a school district must provide a copy of the form to the student's parent and obtain the parent's consent to administer the form.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June 30, 2024,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(g) and this subsection expire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26.0084.</w:t>
      </w:r>
      <w:r>
        <w:rPr>
          <w:u w:val="single"/>
        </w:rPr>
        <w:t xml:space="preserve"> </w:t>
      </w:r>
      <w:r>
        <w:rPr>
          <w:u w:val="single"/>
        </w:rPr>
        <w:t xml:space="preserve"> </w:t>
      </w:r>
      <w:r>
        <w:rPr>
          <w:u w:val="single"/>
        </w:rPr>
        <w:t xml:space="preserve">RIGHT TO INFORMATION REGARDING STUDENT'S PERCEPTION OF BIOLOGICAL SEX. </w:t>
      </w:r>
      <w:r>
        <w:rPr>
          <w:u w:val="single"/>
        </w:rPr>
        <w:t xml:space="preserve"> </w:t>
      </w:r>
      <w:r>
        <w:rPr>
          <w:u w:val="single"/>
        </w:rPr>
        <w:t xml:space="preserve">A school district employee or independent contractor of a district, including a third-party instructor, guest speaker, or subcontractor, may not withhold from a student's parent information related to the student's perception of the student's biological sex if that perception is inconsistent with the student's biological sex as determined by the student's sex organs, chromosomes, and endogenous hormone profiles.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26.016.</w:t>
      </w:r>
      <w:r>
        <w:rPr>
          <w:u w:val="single"/>
        </w:rPr>
        <w:t xml:space="preserve"> </w:t>
      </w:r>
      <w:r>
        <w:rPr>
          <w:u w:val="single"/>
        </w:rPr>
        <w:t xml:space="preserve"> </w:t>
      </w:r>
      <w:r>
        <w:rPr>
          <w:u w:val="single"/>
        </w:rPr>
        <w:t xml:space="preserve">CONSENT REQUIRED FOR PARTICIPATION IN CERTAIN STUDENT CLUBS.  (a)  In this section, "student club" means any student organization  sponsored or sanctioned by a school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require written parental consent as a condition of a student's participation in a student club that promotes themes of sexuality, gender, or gender identity.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seek parental consent under this section by providing a written form to a parent that includes the foundational documents of the student club described by Subsection (b) in which the student wishes to participate,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club;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mission statement or purpose of the club;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information determined appropriate by the school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school district, open-enrollment charter school, or district or charter school employee may not provide or allow a third party to provide instruction regarding sexual orientation or gender identity to students enrolled in the district or school.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parental rights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regarding a student's mental, emotional, and physical health and health-related services offered by the school as provided by Section 26.0083;</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information regarding a student's perception of the student's biological sex as provided by Section 26.0084;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consent to a student's participation in a student club that promotes themes of sexuality, gender, or gender identity as provided by Section 26.016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