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 et al.</w:t>
      </w:r>
      <w:r xml:space="preserve">
        <w:tab wTab="150" tlc="none" cTlc="0"/>
      </w:r>
      <w:r>
        <w:t xml:space="preserve">S.B.</w:t>
      </w:r>
      <w:r xml:space="preserve">
        <w:t> </w:t>
      </w:r>
      <w:r>
        <w:t xml:space="preserve">No.</w:t>
      </w:r>
      <w:r xml:space="preserve">
        <w:t> </w:t>
      </w:r>
      <w:r>
        <w:t xml:space="preserve">402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preference given by trial courts to hearings and trials for murder and capital murder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71.004,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rPr>
          <w:u w:val="single"/>
        </w:rPr>
        <w:t xml:space="preserve">19.02, 19.03,</w:t>
      </w:r>
      <w:r>
        <w:t xml:space="preserve"> 21.02</w:t>
      </w:r>
      <w:r>
        <w:rPr>
          <w:u w:val="single"/>
        </w:rPr>
        <w:t xml:space="preserve">,</w:t>
      </w:r>
      <w:r>
        <w:t xml:space="preserve"> or 21.11, Penal Code;</w:t>
      </w:r>
    </w:p>
    <w:p w:rsidR="003F3435" w:rsidRDefault="0032493E">
      <w:pPr>
        <w:spacing w:line="480" w:lineRule="auto"/>
        <w:ind w:firstLine="2880"/>
        <w:jc w:val="both"/>
      </w:pPr>
      <w:r>
        <w:t xml:space="preserve">(ii)</w:t>
      </w:r>
      <w:r xml:space="preserve">
        <w:t> </w:t>
      </w:r>
      <w:r xml:space="preserve">
        <w:t> </w:t>
      </w:r>
      <w:r>
        <w:t xml:space="preserve">Chapter 22,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25.02,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25.06, Penal Code;</w:t>
      </w:r>
    </w:p>
    <w:p w:rsidR="003F3435" w:rsidRDefault="0032493E">
      <w:pPr>
        <w:spacing w:line="480" w:lineRule="auto"/>
        <w:ind w:firstLine="2880"/>
        <w:jc w:val="both"/>
      </w:pPr>
      <w:r>
        <w:t xml:space="preserve">(v)</w:t>
      </w:r>
      <w:r xml:space="preserve">
        <w:t> </w:t>
      </w:r>
      <w:r xml:space="preserve">
        <w:t> </w:t>
      </w:r>
      <w:r>
        <w:t xml:space="preserve">Section 43.25, Penal Code; or</w:t>
      </w:r>
    </w:p>
    <w:p w:rsidR="003F3435" w:rsidRDefault="0032493E">
      <w:pPr>
        <w:spacing w:line="480" w:lineRule="auto"/>
        <w:ind w:firstLine="2880"/>
        <w:jc w:val="both"/>
      </w:pPr>
      <w:r>
        <w:t xml:space="preserve">(vi)</w:t>
      </w:r>
      <w:r xml:space="preserve">
        <w:t> </w:t>
      </w:r>
      <w:r xml:space="preserve">
        <w:t> </w:t>
      </w:r>
      <w:r>
        <w:t xml:space="preserve">Section 20A.02(a)(7), 20A.02(a)(8), or 20A.03, Penal Code;</w:t>
      </w:r>
    </w:p>
    <w:p w:rsidR="003F3435" w:rsidRDefault="0032493E">
      <w:pPr>
        <w:spacing w:line="480" w:lineRule="auto"/>
        <w:ind w:firstLine="2160"/>
        <w:jc w:val="both"/>
      </w:pPr>
      <w:r>
        <w:t xml:space="preserve">(D)</w:t>
      </w:r>
      <w:r xml:space="preserve">
        <w:t> </w:t>
      </w:r>
      <w:r xml:space="preserve">
        <w:t> </w:t>
      </w:r>
      <w:r>
        <w:t xml:space="preserve">an offense described by Article 62.001(6)(C)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51.12, Family Code, after transfer for prosecution in criminal court under Section 54.02,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51.3021,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42.01 or 42.015, Tax Code, of orders of appraisal review boards of appraisal districts established for counties with a population of less than 175,000.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