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88R4636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reporting of lost or stolen firearms;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411, Government Code, is amended by adding Section 411.056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 OF LOST OR STOLEN FIREARM.  (a)  A peace officer who receives a report from the owner of a firearm or the owner's agent that the firearm was lost or stolen shall report the loss or theft to the department.  The report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of the owner;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available information about the firearm;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that the owner became aware the firearm was lost or stolen.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regularly send all reports received under Subsection (a) to the National Crime Information Center.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46, Penal Code, is amended by adding Section 46.135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46.135.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FAILURE TO REPORT LOST OR STOLEN FIREARM.  (a)  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owns a firearm that is subsequently lost by or stolen from the person;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fails to report the loss or theft, or cause a report of the loss or theft to be made, to a peace officer or law enforcement agency not later than 24 hours after the time the person became aware the firearm was lost or stolen.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C misdemeanor, except that the offense is a Class B misdemeanor if it is shown on the trial of the offense that the defendant has been previously convicted of an offense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another section of this code, the actor may be prosecuted under either section or under both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