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 Blanco</w:t>
      </w:r>
      <w:r xml:space="preserve">
        <w:tab wTab="150" tlc="none" cTlc="0"/>
      </w:r>
      <w:r>
        <w:t xml:space="preserve">S.B.</w:t>
      </w:r>
      <w:r xml:space="preserve">
        <w:t> </w:t>
      </w:r>
      <w:r>
        <w:t xml:space="preserve">No.</w:t>
      </w:r>
      <w:r xml:space="preserve">
        <w:t> </w:t>
      </w:r>
      <w:r>
        <w:t xml:space="preserve">409</w:t>
      </w:r>
    </w:p>
    <w:p w:rsidR="003F3435" w:rsidRDefault="0032493E">
      <w:pPr>
        <w:jc w:val="both"/>
      </w:pPr>
      <w:r xml:space="preserve">
        <w:t> </w:t>
      </w:r>
      <w:r xml:space="preserve">
        <w:t> </w:t>
      </w:r>
      <w:r xml:space="preserve">
        <w:t> </w:t>
      </w:r>
      <w:r xml:space="preserve">
        <w:t> </w:t>
      </w:r>
      <w:r xml:space="preserve">
        <w:t> </w:t>
      </w:r>
      <w:r>
        <w:t xml:space="preserve">Zaffirini</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rights of victims, guardians of victims, and close relatives of deceased victims in the criminal justice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Articles 56A.052(a), (b), and (c), Code of Criminal Procedure,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If the offense is a sexual assault, a</w:t>
      </w:r>
      <w:r>
        <w:t xml:space="preserve">] victim, guardian of a victim, or close relative of a deceased victim </w:t>
      </w:r>
      <w:r>
        <w:rPr>
          <w:u w:val="single"/>
        </w:rPr>
        <w:t xml:space="preserve">of an offense under Section 21.02, 21.11, 22.011, 22.012, 22.021, or 42.072, Penal Code,</w:t>
      </w:r>
      <w:r>
        <w:t xml:space="preserve"> is entitled to the following rights within the criminal justice system:</w:t>
      </w:r>
    </w:p>
    <w:p w:rsidR="003F3435" w:rsidRDefault="0032493E">
      <w:pPr>
        <w:spacing w:line="480" w:lineRule="auto"/>
        <w:ind w:firstLine="1440"/>
        <w:jc w:val="both"/>
      </w:pPr>
      <w:r>
        <w:t xml:space="preserve">(1)</w:t>
      </w:r>
      <w:r xml:space="preserve">
        <w:t> </w:t>
      </w:r>
      <w:r xml:space="preserve">
        <w:t> </w:t>
      </w:r>
      <w:r>
        <w:t xml:space="preserve">if requested, the right to a disclosure of information regarding:</w:t>
      </w:r>
    </w:p>
    <w:p w:rsidR="003F3435" w:rsidRDefault="0032493E">
      <w:pPr>
        <w:spacing w:line="480" w:lineRule="auto"/>
        <w:ind w:firstLine="2160"/>
        <w:jc w:val="both"/>
      </w:pPr>
      <w:r>
        <w:t xml:space="preserve">(A)</w:t>
      </w:r>
      <w:r xml:space="preserve">
        <w:t> </w:t>
      </w:r>
      <w:r xml:space="preserve">
        <w:t> </w:t>
      </w:r>
      <w:r>
        <w:t xml:space="preserve">any evidence that was collected during the investigation of the offense, unless disclosing the information would interfere with the investigation or prosecution of the offense, in which event the victim, guardian, or relative shall be informed of the estimated date on which that information is expected to be disclosed; and</w:t>
      </w:r>
    </w:p>
    <w:p w:rsidR="003F3435" w:rsidRDefault="0032493E">
      <w:pPr>
        <w:spacing w:line="480" w:lineRule="auto"/>
        <w:ind w:firstLine="2160"/>
        <w:jc w:val="both"/>
      </w:pPr>
      <w:r>
        <w:t xml:space="preserve">(B)</w:t>
      </w:r>
      <w:r xml:space="preserve">
        <w:t> </w:t>
      </w:r>
      <w:r xml:space="preserve">
        <w:t> </w:t>
      </w:r>
      <w:r>
        <w:t xml:space="preserve">the status of any analysis being performed </w:t>
      </w:r>
      <w:r>
        <w:rPr>
          <w:u w:val="single"/>
        </w:rPr>
        <w:t xml:space="preserve">on</w:t>
      </w:r>
      <w:r>
        <w:t xml:space="preserve"> [</w:t>
      </w:r>
      <w:r>
        <w:rPr>
          <w:strike/>
        </w:rPr>
        <w:t xml:space="preserve">of</w:t>
      </w:r>
      <w:r>
        <w:t xml:space="preserve">] any evidence described by Paragraph (A);</w:t>
      </w:r>
    </w:p>
    <w:p w:rsidR="003F3435" w:rsidRDefault="0032493E">
      <w:pPr>
        <w:spacing w:line="480" w:lineRule="auto"/>
        <w:ind w:firstLine="1440"/>
        <w:jc w:val="both"/>
      </w:pPr>
      <w:r>
        <w:t xml:space="preserve">(2)</w:t>
      </w:r>
      <w:r xml:space="preserve">
        <w:t> </w:t>
      </w:r>
      <w:r xml:space="preserve">
        <w:t> </w:t>
      </w:r>
      <w:r>
        <w:t xml:space="preserve">if requested, the right to be notified:</w:t>
      </w:r>
    </w:p>
    <w:p w:rsidR="003F3435" w:rsidRDefault="0032493E">
      <w:pPr>
        <w:spacing w:line="480" w:lineRule="auto"/>
        <w:ind w:firstLine="2160"/>
        <w:jc w:val="both"/>
      </w:pPr>
      <w:r>
        <w:t xml:space="preserve">(A)</w:t>
      </w:r>
      <w:r xml:space="preserve">
        <w:t> </w:t>
      </w:r>
      <w:r xml:space="preserve">
        <w:t> </w:t>
      </w:r>
      <w:r>
        <w:t xml:space="preserve">at the time a request is submitted to a crime laboratory to process and analyze any evidence that was collected during the investigation of the offense;</w:t>
      </w:r>
    </w:p>
    <w:p w:rsidR="003F3435" w:rsidRDefault="0032493E">
      <w:pPr>
        <w:spacing w:line="480" w:lineRule="auto"/>
        <w:ind w:firstLine="2160"/>
        <w:jc w:val="both"/>
      </w:pPr>
      <w:r>
        <w:t xml:space="preserve">(B)</w:t>
      </w:r>
      <w:r xml:space="preserve">
        <w:t> </w:t>
      </w:r>
      <w:r xml:space="preserve">
        <w:t> </w:t>
      </w:r>
      <w:r>
        <w:t xml:space="preserve">at the time of the submission of a request to compare any biological evidence collected during the investigation of the offense with DNA profiles maintained in a state or federal DNA database; and</w:t>
      </w:r>
    </w:p>
    <w:p w:rsidR="003F3435" w:rsidRDefault="0032493E">
      <w:pPr>
        <w:spacing w:line="480" w:lineRule="auto"/>
        <w:ind w:firstLine="2160"/>
        <w:jc w:val="both"/>
      </w:pPr>
      <w:r>
        <w:t xml:space="preserve">(C)</w:t>
      </w:r>
      <w:r xml:space="preserve">
        <w:t> </w:t>
      </w:r>
      <w:r xml:space="preserve">
        <w:t> </w:t>
      </w:r>
      <w:r>
        <w:t xml:space="preserve">of the results of the comparison described by Paragraph (B), unless disclosing the results would interfere with the investigation or prosecution of the offense, in which event the victim, guardian, or relative shall be informed of the estimated date on which those results are expected to be disclosed;</w:t>
      </w:r>
    </w:p>
    <w:p w:rsidR="003F3435" w:rsidRDefault="0032493E">
      <w:pPr>
        <w:spacing w:line="480" w:lineRule="auto"/>
        <w:ind w:firstLine="1440"/>
        <w:jc w:val="both"/>
      </w:pPr>
      <w:r>
        <w:t xml:space="preserve">(3)</w:t>
      </w:r>
      <w:r xml:space="preserve">
        <w:t> </w:t>
      </w:r>
      <w:r xml:space="preserve">
        <w:t> </w:t>
      </w:r>
      <w:r>
        <w:t xml:space="preserve">if requested, the right to counseling regarding acquired immune deficiency syndrome (AIDS) and human immunodeficiency virus (HIV) infection;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if requested, the right to be informed about, and confer with the attorney representing the state regarding, the disposition of the offense, including sharing the victim's, guardian's, or relative's views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decision not to file charges;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dismissal of charges;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use of a pretrial intervention program;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plea bargain agreement; and</w:t>
      </w:r>
    </w:p>
    <w:p w:rsidR="003F3435" w:rsidRDefault="0032493E">
      <w:pPr>
        <w:spacing w:line="480" w:lineRule="auto"/>
        <w:ind w:firstLine="1440"/>
        <w:jc w:val="both"/>
      </w:pPr>
      <w:r>
        <w:rPr>
          <w:u w:val="single"/>
        </w:rPr>
        <w:t xml:space="preserve">(5)</w:t>
      </w:r>
      <w:r xml:space="preserve">
        <w:t> </w:t>
      </w:r>
      <w:r xml:space="preserve">
        <w:t> </w:t>
      </w:r>
      <w:r>
        <w:t xml:space="preserve">for the victim, the right to:</w:t>
      </w:r>
    </w:p>
    <w:p w:rsidR="003F3435" w:rsidRDefault="0032493E">
      <w:pPr>
        <w:spacing w:line="480" w:lineRule="auto"/>
        <w:ind w:firstLine="2160"/>
        <w:jc w:val="both"/>
      </w:pPr>
      <w:r>
        <w:t xml:space="preserve">(A)</w:t>
      </w:r>
      <w:r xml:space="preserve">
        <w:t> </w:t>
      </w:r>
      <w:r xml:space="preserve">
        <w:t> </w:t>
      </w:r>
      <w:r>
        <w:t xml:space="preserve">testing for acquired immune deficiency syndrome (AIDS), human immunodeficiency virus (HIV) infection, antibodies to HIV, or infection with any other probable causative agent of AIDS; and</w:t>
      </w:r>
    </w:p>
    <w:p w:rsidR="003F3435" w:rsidRDefault="0032493E">
      <w:pPr>
        <w:spacing w:line="480" w:lineRule="auto"/>
        <w:ind w:firstLine="2160"/>
        <w:jc w:val="both"/>
      </w:pPr>
      <w:r>
        <w:t xml:space="preserve">(B)</w:t>
      </w:r>
      <w:r xml:space="preserve">
        <w:t> </w:t>
      </w:r>
      <w:r xml:space="preserve">
        <w:t> </w:t>
      </w:r>
      <w:r>
        <w:t xml:space="preserve">a forensic medical examination to the extent provided by Subchapters F and G if, within 120 hours of the offense:</w:t>
      </w:r>
    </w:p>
    <w:p w:rsidR="003F3435" w:rsidRDefault="0032493E">
      <w:pPr>
        <w:spacing w:line="480" w:lineRule="auto"/>
        <w:ind w:firstLine="2880"/>
        <w:jc w:val="both"/>
      </w:pPr>
      <w:r>
        <w:t xml:space="preserve">(i)</w:t>
      </w:r>
      <w:r xml:space="preserve">
        <w:t> </w:t>
      </w:r>
      <w:r xml:space="preserve">
        <w:t> </w:t>
      </w:r>
      <w:r>
        <w:t xml:space="preserve">the offense is reported to a law enforcement agency; or</w:t>
      </w:r>
    </w:p>
    <w:p w:rsidR="003F3435" w:rsidRDefault="0032493E">
      <w:pPr>
        <w:spacing w:line="480" w:lineRule="auto"/>
        <w:ind w:firstLine="2880"/>
        <w:jc w:val="both"/>
      </w:pPr>
      <w:r>
        <w:t xml:space="preserve">(ii)</w:t>
      </w:r>
      <w:r xml:space="preserve">
        <w:t> </w:t>
      </w:r>
      <w:r xml:space="preserve">
        <w:t> </w:t>
      </w:r>
      <w:r>
        <w:t xml:space="preserve">a forensic medical examination is otherwise conducted </w:t>
      </w:r>
      <w:r>
        <w:rPr>
          <w:u w:val="single"/>
        </w:rPr>
        <w:t xml:space="preserve">by</w:t>
      </w:r>
      <w:r>
        <w:t xml:space="preserve"> [</w:t>
      </w:r>
      <w:r>
        <w:rPr>
          <w:strike/>
        </w:rPr>
        <w:t xml:space="preserve">at</w:t>
      </w:r>
      <w:r>
        <w:t xml:space="preserve">] a health care provider.</w:t>
      </w:r>
    </w:p>
    <w:p w:rsidR="003F3435" w:rsidRDefault="0032493E">
      <w:pPr>
        <w:spacing w:line="480" w:lineRule="auto"/>
        <w:ind w:firstLine="720"/>
        <w:jc w:val="both"/>
      </w:pPr>
      <w:r>
        <w:t xml:space="preserve">(b)</w:t>
      </w:r>
      <w:r xml:space="preserve">
        <w:t> </w:t>
      </w:r>
      <w:r xml:space="preserve">
        <w:t> </w:t>
      </w:r>
      <w:r>
        <w:rPr>
          <w:u w:val="single"/>
        </w:rPr>
        <w:t xml:space="preserve">Subject to Subsection (c), a</w:t>
      </w:r>
      <w:r>
        <w:t xml:space="preserve"> [</w:t>
      </w:r>
      <w:r>
        <w:rPr>
          <w:strike/>
        </w:rPr>
        <w:t xml:space="preserve">A</w:t>
      </w:r>
      <w:r>
        <w:t xml:space="preserve">] victim, guardian of a victim, or close relative of a deceased victim who requests to be notified </w:t>
      </w:r>
      <w:r>
        <w:rPr>
          <w:u w:val="single"/>
        </w:rPr>
        <w:t xml:space="preserve">or receive information</w:t>
      </w:r>
      <w:r>
        <w:t xml:space="preserve"> under Subsection </w:t>
      </w:r>
      <w:r>
        <w:rPr>
          <w:u w:val="single"/>
        </w:rPr>
        <w:t xml:space="preserve">(a)(1), (2), or (4)</w:t>
      </w:r>
      <w:r>
        <w:t xml:space="preserve"> [</w:t>
      </w:r>
      <w:r>
        <w:rPr>
          <w:strike/>
        </w:rPr>
        <w:t xml:space="preserve">(a)(2)</w:t>
      </w:r>
      <w:r>
        <w:t xml:space="preserve">]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provide a current address and phone number to the attorney representing the state and the law enforcement agency that is investigating the offense</w:t>
      </w:r>
      <w:r>
        <w:rPr>
          <w:u w:val="single"/>
        </w:rP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The victim, guardian, or relative must</w:t>
      </w:r>
      <w:r>
        <w:t xml:space="preserve">] inform the attorney representing the state and the law enforcement agency of any change in the address or phone number.</w:t>
      </w:r>
    </w:p>
    <w:p w:rsidR="003F3435" w:rsidRDefault="0032493E">
      <w:pPr>
        <w:spacing w:line="480" w:lineRule="auto"/>
        <w:ind w:firstLine="720"/>
        <w:jc w:val="both"/>
      </w:pPr>
      <w:r>
        <w:t xml:space="preserve">(c)</w:t>
      </w:r>
      <w:r xml:space="preserve">
        <w:t> </w:t>
      </w:r>
      <w:r xml:space="preserve">
        <w:t> </w:t>
      </w:r>
      <w:r>
        <w:t xml:space="preserve">A victim, guardian of a victim, or close relative of a deceased victim may designate a person, including an entity that provides services to victims of </w:t>
      </w:r>
      <w:r>
        <w:rPr>
          <w:u w:val="single"/>
        </w:rPr>
        <w:t xml:space="preserve">an offense described by Subsection (a)</w:t>
      </w:r>
      <w:r>
        <w:t xml:space="preserve"> [</w:t>
      </w:r>
      <w:r>
        <w:rPr>
          <w:strike/>
        </w:rPr>
        <w:t xml:space="preserve">sexual assault</w:t>
      </w:r>
      <w:r>
        <w:t xml:space="preserve">], to receive any notice requested under Subsection (a)(2).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56A, Code of Criminal Procedure, is amended by adding Article 56A.0531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56A.0531.</w:t>
      </w:r>
      <w:r>
        <w:rPr>
          <w:u w:val="single"/>
        </w:rPr>
        <w:t xml:space="preserve"> </w:t>
      </w:r>
      <w:r>
        <w:rPr>
          <w:u w:val="single"/>
        </w:rPr>
        <w:t xml:space="preserve"> </w:t>
      </w:r>
      <w:r>
        <w:rPr>
          <w:u w:val="single"/>
        </w:rPr>
        <w:t xml:space="preserve">ASSERTION OF RIGHTS.  A victim, guardian of a victim, or close relative of a deceased victim may assert the rights provided by this chapter either orally or in writing.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