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device filters for certain explicit material; creating a criminal offense;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ELECTRONIC DEVICE FILTERS</w:t>
      </w:r>
    </w:p>
    <w:p w:rsidR="003F3435" w:rsidRDefault="0032493E">
      <w:pPr>
        <w:spacing w:line="480" w:lineRule="auto"/>
        <w:jc w:val="center"/>
      </w:pPr>
      <w:r>
        <w:rPr>
          <w:u w:val="single"/>
        </w:rPr>
        <w:t xml:space="preserve">SUBCHAPTER A.  ELECTRONIC DEVICE FILTER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means the process of powering on an electronic device and associating the device with a new user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device" means a smart phone or tablet that is capable of connecting to a cellular network and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"Explicit material" means visual material depicting: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intimate parts of a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conduct;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simulated sexual conduct.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"Filter" means software installed on an electronic device that is capable of preventing the device from accessing or displaying explicit material.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"Intimate parts" has the meaning assigned by Section 21.16,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"Manufacturer" means a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engaged in the business of manufacturing electronic devices;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maintains a registered agent under Section 5.201, Business Organizations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"Minor" means a person younger than 18 years of age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never been married;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 member of the United States military forces;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not had the disabilities of minority removed for general purposes.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"Sexual conduct" has the meaning assigned by Section 21.16, Penal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"Simulated" has the meaning assigned by Section 21.16, Penal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"Visual material" has the meaning assigned by Section 21.16,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ELECTRONIC DEVICE FILTER REQUIRED.  (a)  A manufacturer shall automatically enable a filter on an electronic device that is activated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filter described by Subsection (a), when enabled,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 minor user from accessing, downloading, or displaying explicit material through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mobile data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Internet network, including Wi-Fi;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software application owned and controlled by the manufacturer of the electronic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user of the electronic device when the filter prevents the device from accessing or displaying explicit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user of the electronic device to circumvent the filter by entering a password or access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reasonably prevent a user of the electronic device from circumventing, modifying, removing, or uninstalling the filter without entering a password or access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VIOLATION.  (a)  A manufacturer violates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manufactures an electronic device that is activated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device does not automatically enable a filter under Section 121.002;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minor user accesses explicit material on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violates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circumvents, modifies, removes, or uninstalls a filter under Section 121.002 on the electronic device of a minor user;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not the parent or legal guardian of the minor user;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takes the action under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without permission from the parent or legal guardian of the minor user;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knowledge that circumventing, modifying, removing, or uninstalling the filter may result in the minor user accessing explicit material;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minor user accesses explicit material on the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manufacturer does not violate this chapter if the manufacturer makes a good faith effort to provide an electronic device that automatically enables a filter under Section 121.002.</w:t>
      </w:r>
    </w:p>
    <w:p w:rsidR="003F3435" w:rsidRDefault="0032493E">
      <w:pPr>
        <w:spacing w:line="480" w:lineRule="auto"/>
        <w:jc w:val="center"/>
      </w:pPr>
      <w:r>
        <w:rPr>
          <w:u w:val="single"/>
        </w:rPr>
        <w:t xml:space="preserve">SUBCHAPTER B.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CIVIL PENALTY.  (a)  A manufacturer who violates Section 121.003(a) is liable to this state for a civil penalty in an amount not to exceed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 recover a civil penalty under this section.  The attorney general may recover attorney's fees and costs incurred in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or threatened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CIVIL ACTION AGAINST MANUFACTURER.  (a)  A parent or guardian of a minor user of an electronic device who accesses explicit material on the device due to the actions of a manufacturer under Section 121.003(a) may bring a civil action against the manufacturer of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who brings an action under this section shall provide written notice of the action to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amount of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certify an action brought against a manufacturer under this section as a class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CIVIL ACTION AGAINST NONPARENT VIOLATOR.  (a)  In this section, "nonparent violator" means a person who violates Section 121.003(b).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of a minor who accesses explicit material on an electronic device due to the actions of a nonparent violator under Section 121.003(b) may bring a civil action against the nonparent violator.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amount of $1,000;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shall be a defense in an action under this section that the nonparent violator acted at the request of the parent or guardian of the minor user who accessed explicit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OTHER ACTION BY ATTORNEY GENERAL.  (a)  In addition to collecting the penalty under Section 121.051, the attorney general may bring a civil action to enjoin a manufacturer from further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join an action for which the attorney general receives notice under Section 121.052(b).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the attorney general to join an action in accordance with Subsection (b) not later than the 30th day after the date the attorney general receives notice of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attorney general joins an action in accordance with Subsection (b), the attorney general may seek the remedies provided under Subsection (a) and Section 121.051.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121.055.</w:t>
      </w:r>
      <w:r>
        <w:rPr>
          <w:u w:val="single"/>
        </w:rPr>
        <w:t xml:space="preserve"> </w:t>
      </w:r>
      <w:r>
        <w:rPr>
          <w:u w:val="single"/>
        </w:rPr>
        <w:t xml:space="preserve"> </w:t>
      </w:r>
      <w:r>
        <w:rPr>
          <w:u w:val="single"/>
        </w:rPr>
        <w:t xml:space="preserve">OFFENSE; CRIMINAL PENALTY.  (a)  In this section, "nonparent violator" has the meaning assigned by Section 121.053.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nonparent violator who violates Section 121.003(b) commits an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for a first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for a second or subsequent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