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88R3803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parent's right to access certain records regarding school library materials obtained by the parent's child and the option to receive notice each time the parent's child obtains a school library material.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school library materials the child obtains from a school library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26, Education Code, is amended by adding Section 26.017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26.017.</w:t>
      </w:r>
      <w:r>
        <w:rPr>
          <w:u w:val="single"/>
        </w:rPr>
        <w:t xml:space="preserve"> </w:t>
      </w:r>
      <w:r>
        <w:rPr>
          <w:u w:val="single"/>
        </w:rPr>
        <w:t xml:space="preserve"> </w:t>
      </w:r>
      <w:r>
        <w:rPr>
          <w:u w:val="single"/>
        </w:rPr>
        <w:t xml:space="preserve">NOTICE REGARDING SCHOOL LIBRARY MATERIALS.  (a)  Before each school year, a school district shall provide written notice to a parent of each child enrolled in the district regarding the option to receive notice each time the child obtains a school library material from a school library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parent who elects to receive notice under Subsection (a), the school district shall notify the parent by e-mail each time the parent's child obtains a school library material from a school library in the district.  The notice must include, as applicable, the title, author, genre, and return date of the school library material.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