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requirements relating to parental rights, open records, and public information to school districts designated as districts of innovation.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w:t>
      </w:r>
      <w:r>
        <w:rPr>
          <w:u w:val="single"/>
        </w:rPr>
        <w:t xml:space="preserve">or limit the applicability of</w:t>
      </w:r>
      <w:r>
        <w:t xml:space="preserve"> [</w:t>
      </w:r>
      <w:r>
        <w:rPr>
          <w:strike/>
        </w:rPr>
        <w:t xml:space="preserve">the following provisions of this title</w:t>
      </w:r>
      <w:r>
        <w:t xml:space="preserv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parental right or entitlement described or provided under Chapter 26;</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requirement under Chapter 551 or 552,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12A.008,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may terminate a district's designation as a district of innovation if the district's local innovation plan exempts the district from a provision or limits the application of a provision in violation of Section 12A.004(a)(3) or (6).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12A.004(a), Education Code, as amended by this Act, applies to each local innovation plan adopted under Chapter 12A, Education Code, regardless of whether the plan was adopted before, on, or after the effective date of this Act. A local innovation plan adopted or renewed before the effective date of this Act must comply with Section 12A.004(a), Education Code, as amended by this Act, not later than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12A.008(b-2), Education Code, as added by this Act, applies beginning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