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Kolkhorst</w:t>
      </w:r>
      <w:r xml:space="preserve">
        <w:tab wTab="150" tlc="none" cTlc="0"/>
      </w:r>
      <w:r>
        <w:t xml:space="preserve">S.B.</w:t>
      </w:r>
      <w:r xml:space="preserve">
        <w:t> </w:t>
      </w:r>
      <w:r>
        <w:t xml:space="preserve">No.</w:t>
      </w:r>
      <w:r xml:space="preserve">
        <w:t> </w:t>
      </w:r>
      <w:r>
        <w:t xml:space="preserve">427</w:t>
      </w:r>
    </w:p>
    <w:p w:rsidR="003F3435" w:rsidRDefault="0032493E">
      <w:pPr>
        <w:ind w:firstLine="720"/>
        <w:jc w:val="both"/>
      </w:pPr>
      <w:r>
        <w:t xml:space="preserve">(González of El Paso)</w:t>
      </w:r>
    </w:p>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requiring certain institutions of higher education to enter into an agreement to offer undergraduate courses in Texas History.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51.302, Education Code, is amended by adding Subsection (d) to read as follows: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college or university receiving state support or state aid from public funds that does not offer at least three semester credit hours or the equivalent in Texas History to undergraduate students shall enter into an agreement with another postsecondary educational institution to offer to the college or university's undergraduate students at least three semester credit hours or the equivalent in Texas History.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applies beginning with the 2023-2024 academic year.</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427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