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435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under the public information law of certain evidence of a crime that resulted in the death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552.108, Government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other law, a prosecutor may permit a person to view the following evidence of a qualifying crime that occurred in the prosecutor's jurisdiction at least five years before the date the person is allowed to view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video evidence of the crime, if the person viewing the video is a victim of the crime or a family member of a victim of the crime.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permitted to view a medical examiner's report or video evidence under Subsection (d) may not copy, duplicate, photograph, record, capture, or otherwise memorialize the information.  A prosecutor may prohibit the person from having a recording device, including a phone or camera, in the room when the person views the information.  The prosecutor shall advise the person that the information is confidential and that discussing the contents of the information with another person is prohibited and could compromise the prosecution of the crime.  The prosecutor may require the person to sign a confidentiality agreement before permitting the person to view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viewing of a medical examiner's report or video evidence under Subsection (d) is not a voluntary disclosure of information for purposes of Section 552.007(b).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(d)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of a person to obtain a medical examiner's report or video evidence of a crime from a governmental body under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under which the information is obtained under other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that may be made of the information obtained under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member" means a person related to a victim of a crime within the first degree of consanguinity or affinity.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examiner's report" means a report and the contents of such a report created by a medical examiner under Article 49.25, Code of Criminal Procedure, including an autopsy report and toxicology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crime" means a crime: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resulted in the death of at least five people;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defendant or person who is the alleged or suspected perpetrator of the crime is determined to be incompetent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means an individual who suffered personal injury or death as a result of criminal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crime that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