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88R26822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435</w:t>
      </w:r>
    </w:p>
    <w:p w:rsidR="003F3435" w:rsidRDefault="0032493E">
      <w:pPr>
        <w:ind w:firstLine="720"/>
        <w:jc w:val="both"/>
      </w:pPr>
      <w:r>
        <w:t xml:space="preserve">(Bonnen)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435:</w:t>
      </w: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C.S.S.B.</w:t>
      </w:r>
      <w:r xml:space="preserve">
        <w:t> </w:t>
      </w:r>
      <w:r>
        <w:t xml:space="preserve">No.</w:t>
      </w:r>
      <w:r xml:space="preserve">
        <w:t> </w:t>
      </w:r>
      <w:r>
        <w:t xml:space="preserve">435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under the public information law of certain evidence of a crime that resulted in the death of a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552.108, Government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other law, a prosecutor may permit a person to view the following evidence of a crime that resulted in the death of a person and that occurred in the prosecutor's jurisdiction: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examiner's report, if the person viewing the report is a family member of the person who is the subject of the report and the person who is the subject of the report was a victim of the crime;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video evidence of the crime, if the person viewing the video is a victim of the crime or a family member of a victim of the crime.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permitted to view a medical examiner's report or video evidence under Subsection (d) may not duplicate, record, capture, or otherwise memorialize the information.  A prosecutor may require a person to sign a confidentiality agreement before permitting the person to view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permitted viewing of a medical examiner's report or video evidence under Subsection (d) is not a voluntary disclosure of information for purposes of Section 552.007(b).  A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(d)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 of a person to obtain a medical examiner's report or video evidence of a crime from a governmental body under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under which the information is obtained under other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that may be made of the information obtained under other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member" means a person related to a victim of a crime within the first degree of consanguinity or affinity.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examiner's report" means a report and the contents of such a report created by a medical examiner under Article 49.25, Code of Criminal Procedure, including an autopsy report and toxicology report.  The term does not include a photograph or medical image contained in a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"Victim" means an individual who suffered personal injury or death as a result of criminal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crime that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