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88R480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435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under the public information law of certain evidence of a crime that resulted in the death of a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552.108, Government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other law, a prosecutor may permit a person to view the following evidence of a crime that resulted in the death of a person and that occurred in the prosecutor's jurisdiction: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examiner's report, if the person viewing the report is a family member of the person who is the subject of the report and the person who is the subject of the report was a victim of the crime;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video evidence of the crime, if the person viewing the video is a victim of the crime or a family member of a victim of the crime.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permitted to view a medical examiner's report or video evidence under Subsection (d) may not duplicate, record, capture, or otherwise memorialize the information.  A prosecutor may require a person to sign a confidentiality agreement before permitting the person to view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permitted viewing of a medical examiner's report or video evidence under Subsection (d) is not a voluntary disclosure of information for purposes of Section 552.007(b).  A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(d)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 of a person to obtain a medical examiner's report or video evidence of a crime from a governmental body under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under which the information is obtained under other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that may be made of the information obtained under other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member" means a person related to a victim of a crime within the first degree of consanguinity or affinity.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examiner's report" means a report and the contents of such a report created by a medical examiner under Article 49.25, Code of Criminal Procedure, including an autopsy report and toxicology report.  The term does not include a photograph or medical image contained in a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"Victim" means an individual who suffered personal injury or death as a result of criminal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crime that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