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expenditure requirement for the bilingual education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At least </w:t>
      </w:r>
      <w:r>
        <w:rPr>
          <w:u w:val="single"/>
        </w:rPr>
        <w:t xml:space="preserve">90</w:t>
      </w:r>
      <w:r>
        <w:t xml:space="preserve"> [</w:t>
      </w:r>
      <w:r>
        <w:rPr>
          <w:strike/>
        </w:rPr>
        <w:t xml:space="preserve">55</w:t>
      </w:r>
      <w:r>
        <w:t xml:space="preserve">] percent of the funds allocated under this section must be used in providing bilingual education or special language programs under Subchapter B, Chapter 29. A district's bilingual education or special language allocation may be used only for program and student evaluation, instructional materials and equipment, staff development, supplemental staff expenses, salary supplements for teachers, incremental costs associated with providing smaller class sizes, and other supplies required for quality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