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88R1767 MEW-D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Menéndez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445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establishment of a grant program to provide additional resources for public school students with disabilities.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29, Education Code, is amended by adding Section 29.028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29.028.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GRANT PROGRAM FOR STUDENTS WITH DISABILITIES.  (a) In this section, "student with a disability" means a student who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eligible to participate in a school district's special education program under Section 29.003;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covered by Section 504, Rehabilitation Act of 1973 (29 U.S.C. Section 794);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covered by the Individuals with Disabilities Education Act (20 U.S.C. Section 1400 et seq.).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From funds appropriated for the purposes of this section, federal funds, or any other funds available, not later than August 1 of each year, the commissioner shall distribute money to each school district in a manner that provides each district an equal amount of money for each student with a disability enrolled in the district.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Funds provided to a school district under Subsection (b) must be used by the district to establish a program under which the district issues grants to students with disabilities enrolled in the district.  Funds received by a student under this section may only be used to provide additional: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learning resources at the student's residence;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assistance for remote or virtual learning.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district shall adopt procedures creating an application and selection process for grants awarded under Subsection (c). The procedures must require the parent or legal guardian of a student with a disability to provide a detailed description of the proposed use of the grant money.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district shall determine the amount of each grant awarded under Subsection (c).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shall adopt rules as necessary to administer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2023-2024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445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