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88R1764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449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requirements for public school board of trustees members and superintendents regarding the adoption of a trauma-informed school standard.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11, Education Code, is amended by adding Section 11.004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11.004.</w:t>
      </w:r>
      <w:r>
        <w:rPr>
          <w:u w:val="single"/>
        </w:rPr>
        <w:t xml:space="preserve"> </w:t>
      </w:r>
      <w:r>
        <w:rPr>
          <w:u w:val="single"/>
        </w:rPr>
        <w:t xml:space="preserve"> </w:t>
      </w:r>
      <w:r>
        <w:rPr>
          <w:u w:val="single"/>
        </w:rPr>
        <w:t xml:space="preserve">TRAINING FOR SCHOOL BOARD MEMBERS AND SUPERINTENDENTS REGARDING TRAUMA-INFORMED SCHOOL STANDARD. (a) A member of the board of trustees and the superintendent of a school district must complete an agency-approved course of instruction regarding the adoption and administration of a trauma-informed school standard.  A course required under this section must be completed on an annual basis.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course of instruction described by Subsection (a) must provide information, relevant to and within the scope of the duties of a school board member or superintendent,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recognition of and care for trauma in students and educators;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relationship between educator wellness and student learning;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effect of trauma on student behavior and learning;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prevalence of trauma among students, including the prevalence of trauma among student populations at higher risk of experiencing trauma;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effects of implicit or explicit bias on recognizing trauma among various racial or ethnic groups of students;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effective district and campus policies and practices shown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prevent and mitigate the negative effect of trauma on student behavior and learning;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support the emotional wellness of educators.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submit for agency approval any course of instruction identified by the district as satisfying the requirements of Subsection (b).</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approve both in-person and online courses of instruction to satisfy the requirements of this section, including courses provided by community-based nonprofit organizations with expertise concerning trauma-informed school standards.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Education Agency shall approve one or more courses of instruction to satisfy the training requirements of Section 11.004,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