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88R1088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463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punishment for assault committed against a sports participant.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 </w:t>
      </w:r>
      <w:r>
        <w:t xml:space="preserve"> </w:t>
      </w:r>
      <w:r>
        <w:t xml:space="preserve">Section 22.01(c),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Subsection (a)(2) or (3) is a Class C misdemeanor, except that the offense is[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Class A misdemeanor if the offense is committed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under Subsection (a)(3) against an elderly individual or disabled individual, as those terms are defined by Section 22.04;</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Class B misdemeanor if the offense is committed</w:t>
      </w:r>
      <w:r>
        <w:t xml:space="preserve">] by a person who is not a sports participant against a person the actor knows is a sports participant either:</w:t>
      </w:r>
    </w:p>
    <w:p w:rsidR="003F3435" w:rsidRDefault="0032493E">
      <w:pPr>
        <w:spacing w:line="480" w:lineRule="auto"/>
        <w:ind w:firstLine="2160"/>
        <w:jc w:val="both"/>
      </w:pPr>
      <w:r>
        <w:t xml:space="preserve">(A)</w:t>
      </w:r>
      <w:r xml:space="preserve">
        <w:t> </w:t>
      </w:r>
      <w:r xml:space="preserve">
        <w:t> </w:t>
      </w:r>
      <w:r>
        <w:t xml:space="preserve">while the participant is performing duties or responsibilities in the participant's capacity as a sports participant; or</w:t>
      </w:r>
    </w:p>
    <w:p w:rsidR="003F3435" w:rsidRDefault="0032493E">
      <w:pPr>
        <w:spacing w:line="480" w:lineRule="auto"/>
        <w:ind w:firstLine="2160"/>
        <w:jc w:val="both"/>
      </w:pPr>
      <w:r>
        <w:t xml:space="preserve">(B)</w:t>
      </w:r>
      <w:r xml:space="preserve">
        <w:t> </w:t>
      </w:r>
      <w:r xml:space="preserve">
        <w:t> </w:t>
      </w:r>
      <w:r>
        <w:t xml:space="preserve">in retaliation for or on account of the participant's performance of a duty or responsibility within the participant's capacity as a sports participant; or</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 Class A misdemeanor if the offense is committed</w:t>
      </w:r>
      <w:r>
        <w:t xml:space="preserve">] against a pregnant individual to force the individual to have an abortion.</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