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impairment of a motor fuel pump.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actor causes wholly or partly impairment or disruption to a retail motor fuel pump, regardless of the amount of pecuniary loss;</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467 passed the Senate on March</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467 passed the House on May</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