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88R4166 KBB-F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Springer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469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eligibility of certain political subdivisions to receive certain financial assistance administered by the Texas Water Development Board.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15.001, Water Code, is amended by adding Subdivision (14)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"Rural political subdivision" means: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nonprofit water supply or sewer service corporation, district, or municipality that: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a service area with a population of 10,000 or less no part of which is located in an urban area as defined by the United States Bureau of the Census;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otherwise qualifies for financing from a federal agency;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county in which no urban area has a population of more than 50,000.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17.001, Water Code, is amended by adding Subdivision (26)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"Rural political subdivision" means: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nonprofit water supply or sewer service corporation, district, or municipality that: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a service area with a population of 10,000 or less no part of which is located in an urban area as defined by the United States Bureau of the Census;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otherwise qualifies for financing from a federal agency;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county in which no urban area has a population of more than 50,000.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17.9615(a), Water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board may direct the comptroller to transfer amounts from the financial assistance account to the rural water assistance fund to provide financial assistance </w:t>
      </w:r>
      <w:r>
        <w:rPr>
          <w:u w:val="single"/>
        </w:rPr>
        <w:t xml:space="preserve">to rural political subdivisions</w:t>
      </w:r>
      <w:r>
        <w:t xml:space="preserve"> under this subchapter for the purposes provided in Section 15.994.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15.992(4), Water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469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