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471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investigation by the Texas Commission on Environmental Quality of certain complaints.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5.176, Water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is not required to investigate a complaint: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may be addressed during other commission activities;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was filed by an individual when there is not a reasonable probability that the commission can substantiate the complaint and: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complaint is repetitious or redundant of other complaints concerning the same site investigated in the preceding 12 months that were not substantiated by the commission;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complainant has filed in the preceding seven years at least five complaints that were not substantiated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5.177(c),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is not required to provide the information described in Subsection (a) or (b) to a complainant who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files an anonymous complaint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or</w:t>
      </w:r>
      <w:r>
        <w:t xml:space="preserve">] provides inaccurate contact information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files a complaint described by Section 5.176(c)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complaint filed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