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Middleton</w:t>
      </w:r>
      <w:r xml:space="preserve">
        <w:tab wTab="150" tlc="none" cTlc="0"/>
      </w:r>
      <w:r>
        <w:t xml:space="preserve">S.B.</w:t>
      </w:r>
      <w:r xml:space="preserve">
        <w:t> </w:t>
      </w:r>
      <w:r>
        <w:t xml:space="preserve">No.</w:t>
      </w:r>
      <w:r xml:space="preserve">
        <w:t> </w:t>
      </w:r>
      <w:r>
        <w:t xml:space="preserve">472</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17,</w:t>
      </w:r>
      <w:r xml:space="preserve">
        <w:t> </w:t>
      </w:r>
      <w:r>
        <w:t xml:space="preserve">2023; February</w:t>
      </w:r>
      <w:r xml:space="preserve">
        <w:t> </w:t>
      </w:r>
      <w:r>
        <w:t xml:space="preserve">17,</w:t>
      </w:r>
      <w:r xml:space="preserve">
        <w:t> </w:t>
      </w:r>
      <w:r>
        <w:t xml:space="preserve">2023, read first time and referred to Committee on Education; April</w:t>
      </w:r>
      <w:r xml:space="preserve">
        <w:t> </w:t>
      </w:r>
      <w:r>
        <w:t xml:space="preserve">24,</w:t>
      </w:r>
      <w:r xml:space="preserve">
        <w:t> </w:t>
      </w:r>
      <w:r>
        <w:t xml:space="preserve">2023, reported adversely, with favorable Committee Substitute by the following vote:</w:t>
      </w:r>
      <w:r>
        <w:t xml:space="preserve"> </w:t>
      </w:r>
      <w:r>
        <w:t xml:space="preserve"> </w:t>
      </w:r>
      <w:r>
        <w:t xml:space="preserve">Yeas 10, Nays 2;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472</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applicability of certain laws to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r>
        <w:rPr>
          <w:u w:val="single"/>
        </w:rPr>
        <w:t xml:space="preserve">; and</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establishing a local school health advisory council in which members are appointed by the governing body of the school and health education instruction complies with Section 28.004</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12.1058, Education Code, is amended by amending Subsection (c) and adding Subsections (d), (d-1), (d-2), (d-3), and (d-4) to read as follows:</w:t>
      </w:r>
    </w:p>
    <w:p w:rsidR="003F3435" w:rsidRDefault="0032493E">
      <w:pPr>
        <w:spacing w:line="480" w:lineRule="auto"/>
        <w:ind w:firstLine="720"/>
        <w:jc w:val="both"/>
      </w:pPr>
      <w:r>
        <w:t xml:space="preserve">(c)</w:t>
      </w:r>
      <w:r xml:space="preserve">
        <w:t> </w:t>
      </w:r>
      <w:r xml:space="preserve">
        <w:t> </w:t>
      </w:r>
      <w:r>
        <w:t xml:space="preserve">Notwithstanding Subsection (a) or (b), an open-enrollment charter school operated by a tax exempt entity as described by Section 12.101(a)(3) is not considered to be a political subdivision, local government, or local governmental entity unless:</w:t>
      </w:r>
    </w:p>
    <w:p w:rsidR="003F3435" w:rsidRDefault="0032493E">
      <w:pPr>
        <w:spacing w:line="480" w:lineRule="auto"/>
        <w:ind w:firstLine="1440"/>
        <w:jc w:val="both"/>
      </w:pPr>
      <w:r>
        <w:t xml:space="preserve">(1)</w:t>
      </w:r>
      <w:r xml:space="preserve">
        <w:t> </w:t>
      </w:r>
      <w:r xml:space="preserve">
        <w:t> </w:t>
      </w:r>
      <w:r>
        <w:rPr>
          <w:u w:val="single"/>
        </w:rPr>
        <w:t xml:space="preserve">a</w:t>
      </w:r>
      <w:r>
        <w:t xml:space="preserve"> [</w:t>
      </w:r>
      <w:r>
        <w:rPr>
          <w:strike/>
        </w:rPr>
        <w:t xml:space="preserve">the applicable</w:t>
      </w:r>
      <w:r>
        <w:t xml:space="preserve">] statute specifically states that the statute applies to an open-enrollment charter school; or</w:t>
      </w:r>
    </w:p>
    <w:p w:rsidR="003F3435" w:rsidRDefault="0032493E">
      <w:pPr>
        <w:spacing w:line="480" w:lineRule="auto"/>
        <w:ind w:firstLine="1440"/>
        <w:jc w:val="both"/>
      </w:pPr>
      <w:r>
        <w:t xml:space="preserve">(2)</w:t>
      </w:r>
      <w:r xml:space="preserve">
        <w:t> </w:t>
      </w:r>
      <w:r xml:space="preserve">
        <w:t> </w:t>
      </w:r>
      <w:r>
        <w:t xml:space="preserve">a provision in this chapter states that a specific statute applies to an open-enrollment charter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shall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212.902, Local Government Code, tree and vegetation regulations, regulations of architectural features of a structure, construction of fences, landscaping, garbage disposal, noise levels, fees or other assessments, and construction or site development work. </w:t>
      </w:r>
      <w:r>
        <w:rPr>
          <w:u w:val="single"/>
        </w:rPr>
        <w:t xml:space="preserve"> </w:t>
      </w:r>
      <w:r>
        <w:rPr>
          <w:u w:val="single"/>
        </w:rPr>
        <w:t xml:space="preserve">An open-enrollment charter school does not have the power of eminent domain.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political subdivision may not take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  A political subdivision shall grant approval in the same manner and follow the same timelines as if the charter school were a school district located in that political subdivision's jurisdiction.</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section applies to both owned and leased property of the open-enrollment charter school under Section 12.128.</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Except as provided by this section, this section does not affect the authority granted by state law to a political subdivision to regulate an open-enrollment charter school regarding health and safety ordinances.</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In this section, "political subdivision"</w:t>
      </w:r>
      <w:r>
        <w:rPr>
          <w:u w:val="single"/>
        </w:rPr>
        <w:t xml:space="preserve"> </w:t>
      </w:r>
      <w:r>
        <w:rPr>
          <w:u w:val="single"/>
        </w:rPr>
        <w:t xml:space="preserve">does not include a school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212.902, Local Government Code, is amended to read as follows:</w:t>
      </w:r>
    </w:p>
    <w:p w:rsidR="003F3435" w:rsidRDefault="0032493E">
      <w:pPr>
        <w:spacing w:line="480" w:lineRule="auto"/>
        <w:ind w:firstLine="720"/>
        <w:jc w:val="both"/>
      </w:pPr>
      <w:r>
        <w:t xml:space="preserve">Sec.</w:t>
      </w:r>
      <w:r xml:space="preserve">
        <w:t> </w:t>
      </w:r>
      <w:r>
        <w:t xml:space="preserve">212.902.</w:t>
      </w:r>
      <w:r xml:space="preserve">
        <w:t> </w:t>
      </w:r>
      <w:r xml:space="preserve">
        <w:t> </w:t>
      </w:r>
      <w:r>
        <w:t xml:space="preserve">SCHOOL DISTRICT </w:t>
      </w:r>
      <w:r>
        <w:rPr>
          <w:u w:val="single"/>
        </w:rPr>
        <w:t xml:space="preserve">AND OPEN-ENROLLMENT CHARTER SCHOOL</w:t>
      </w:r>
      <w:r>
        <w:t xml:space="preserve"> LAND DEVELOPMENT STANDARDS.  (a)  This section applies to </w:t>
      </w:r>
      <w:r>
        <w:rPr>
          <w:u w:val="single"/>
        </w:rPr>
        <w:t xml:space="preserve">an agreement</w:t>
      </w:r>
      <w:r>
        <w:t xml:space="preserve"> [</w:t>
      </w:r>
      <w:r>
        <w:rPr>
          <w:strike/>
        </w:rPr>
        <w:t xml:space="preserve">agreements</w:t>
      </w:r>
      <w:r>
        <w:t xml:space="preserve">] between </w:t>
      </w:r>
      <w:r>
        <w:rPr>
          <w:u w:val="single"/>
        </w:rPr>
        <w:t xml:space="preserve">a</w:t>
      </w:r>
      <w:r>
        <w:t xml:space="preserve"> school </w:t>
      </w:r>
      <w:r>
        <w:rPr>
          <w:u w:val="single"/>
        </w:rPr>
        <w:t xml:space="preserve">district or open-enrollment charter school</w:t>
      </w:r>
      <w:r>
        <w:t xml:space="preserve"> [</w:t>
      </w:r>
      <w:r>
        <w:rPr>
          <w:strike/>
        </w:rPr>
        <w:t xml:space="preserve">districts</w:t>
      </w:r>
      <w:r>
        <w:t xml:space="preserve">] and </w:t>
      </w:r>
      <w:r>
        <w:rPr>
          <w:u w:val="single"/>
        </w:rPr>
        <w:t xml:space="preserve">a</w:t>
      </w:r>
      <w:r>
        <w:t xml:space="preserve"> [</w:t>
      </w:r>
      <w:r>
        <w:rPr>
          <w:strike/>
        </w:rPr>
        <w:t xml:space="preserve">any</w:t>
      </w:r>
      <w:r>
        <w:t xml:space="preserve">] municipality which has annexed territory for limited purposes.</w:t>
      </w:r>
    </w:p>
    <w:p w:rsidR="003F3435" w:rsidRDefault="0032493E">
      <w:pPr>
        <w:spacing w:line="480" w:lineRule="auto"/>
        <w:ind w:firstLine="720"/>
        <w:jc w:val="both"/>
      </w:pPr>
      <w:r>
        <w:t xml:space="preserve">(b)</w:t>
      </w:r>
      <w:r xml:space="preserve">
        <w:t> </w:t>
      </w:r>
      <w:r xml:space="preserve">
        <w:t> </w:t>
      </w:r>
      <w:r>
        <w:t xml:space="preserve">On request by a school district </w:t>
      </w:r>
      <w:r>
        <w:rPr>
          <w:u w:val="single"/>
        </w:rPr>
        <w:t xml:space="preserve">or open-enrollment charter school</w:t>
      </w:r>
      <w:r>
        <w:t xml:space="preserve">, a municipality shall enter an agreement with the board of trustees of the school district </w:t>
      </w:r>
      <w:r>
        <w:rPr>
          <w:u w:val="single"/>
        </w:rPr>
        <w:t xml:space="preserve">or the governing body of the open-enrollment charter school</w:t>
      </w:r>
      <w:r>
        <w:t xml:space="preserve"> to establish review fees, review periods, and land development standards ordinances and to provide alternative water pollution control methodologies for school buildings constructed by the school district </w:t>
      </w:r>
      <w:r>
        <w:rPr>
          <w:u w:val="single"/>
        </w:rPr>
        <w:t xml:space="preserve">or open-enrollment charter school</w:t>
      </w:r>
      <w:r>
        <w:t xml:space="preserve">.  The agreement shall include a provision exempting the district </w:t>
      </w:r>
      <w:r>
        <w:rPr>
          <w:u w:val="single"/>
        </w:rPr>
        <w:t xml:space="preserve">or charter school</w:t>
      </w:r>
      <w:r>
        <w:t xml:space="preserve"> from all land development ordinances in cases where the district </w:t>
      </w:r>
      <w:r>
        <w:rPr>
          <w:u w:val="single"/>
        </w:rPr>
        <w:t xml:space="preserve">or charter school</w:t>
      </w:r>
      <w:r>
        <w:t xml:space="preserve"> is adding temporary classroom buildings on an existing school campus.</w:t>
      </w:r>
    </w:p>
    <w:p w:rsidR="003F3435" w:rsidRDefault="0032493E">
      <w:pPr>
        <w:spacing w:line="480" w:lineRule="auto"/>
        <w:ind w:firstLine="720"/>
        <w:jc w:val="both"/>
      </w:pPr>
      <w:r>
        <w:t xml:space="preserve">(c)</w:t>
      </w:r>
      <w:r xml:space="preserve">
        <w:t> </w:t>
      </w:r>
      <w:r xml:space="preserve">
        <w:t> </w:t>
      </w:r>
      <w:r>
        <w:t xml:space="preserve">If the municipality and the school district </w:t>
      </w:r>
      <w:r>
        <w:rPr>
          <w:u w:val="single"/>
        </w:rPr>
        <w:t xml:space="preserve">or open-enrollment charter school</w:t>
      </w:r>
      <w:r>
        <w:t xml:space="preserve"> do not reach an agreement on or before the 120th day after the date on which the municipality receives the district's </w:t>
      </w:r>
      <w:r>
        <w:rPr>
          <w:u w:val="single"/>
        </w:rPr>
        <w:t xml:space="preserve">or charter school's</w:t>
      </w:r>
      <w:r>
        <w:t xml:space="preserve"> request for an agreement, proposed agreements by the [</w:t>
      </w:r>
      <w:r>
        <w:rPr>
          <w:strike/>
        </w:rPr>
        <w:t xml:space="preserve">school</w:t>
      </w:r>
      <w:r>
        <w:t xml:space="preserve">] district </w:t>
      </w:r>
      <w:r>
        <w:rPr>
          <w:u w:val="single"/>
        </w:rPr>
        <w:t xml:space="preserve">or charter school</w:t>
      </w:r>
      <w:r>
        <w:t xml:space="preserve"> and the municipality shall be submitted to an independent arbitrator appointed by the presiding district judge whose jurisdiction includes the [</w:t>
      </w:r>
      <w:r>
        <w:rPr>
          <w:strike/>
        </w:rPr>
        <w:t xml:space="preserve">school</w:t>
      </w:r>
      <w:r>
        <w:t xml:space="preserve">] district </w:t>
      </w:r>
      <w:r>
        <w:rPr>
          <w:u w:val="single"/>
        </w:rPr>
        <w:t xml:space="preserve">or charter school</w:t>
      </w:r>
      <w:r>
        <w:t xml:space="preserve">.  The arbitrator shall, after a hearing at which both the [</w:t>
      </w:r>
      <w:r>
        <w:rPr>
          <w:strike/>
        </w:rPr>
        <w:t xml:space="preserve">school</w:t>
      </w:r>
      <w:r>
        <w:t xml:space="preserve">] district </w:t>
      </w:r>
      <w:r>
        <w:rPr>
          <w:u w:val="single"/>
        </w:rPr>
        <w:t xml:space="preserve">or charter school</w:t>
      </w:r>
      <w:r>
        <w:t xml:space="preserve"> and </w:t>
      </w:r>
      <w:r>
        <w:rPr>
          <w:u w:val="single"/>
        </w:rPr>
        <w:t xml:space="preserve">the</w:t>
      </w:r>
      <w:r>
        <w:t xml:space="preserve"> </w:t>
      </w:r>
      <w:r>
        <w:t xml:space="preserve">municipality make presentations on their proposed agreements, prepare an agreement resolving any differences between the proposals.  The agreement prepared by the arbitrator will be final and binding upon both the [</w:t>
      </w:r>
      <w:r>
        <w:rPr>
          <w:strike/>
        </w:rPr>
        <w:t xml:space="preserve">school</w:t>
      </w:r>
      <w:r>
        <w:t xml:space="preserve">] district </w:t>
      </w:r>
      <w:r>
        <w:rPr>
          <w:u w:val="single"/>
        </w:rPr>
        <w:t xml:space="preserve">or charter school</w:t>
      </w:r>
      <w:r>
        <w:t xml:space="preserve"> and the municipality.  The cost of the arbitration proceeding shall be borne equally by the [</w:t>
      </w:r>
      <w:r>
        <w:rPr>
          <w:strike/>
        </w:rPr>
        <w:t xml:space="preserve">school</w:t>
      </w:r>
      <w:r>
        <w:t xml:space="preserve">] district </w:t>
      </w:r>
      <w:r>
        <w:rPr>
          <w:u w:val="single"/>
        </w:rPr>
        <w:t xml:space="preserve">or charter school</w:t>
      </w:r>
      <w:r>
        <w:t xml:space="preserve"> and the municipality.</w:t>
      </w:r>
    </w:p>
    <w:p w:rsidR="003F3435" w:rsidRDefault="0032493E">
      <w:pPr>
        <w:spacing w:line="480" w:lineRule="auto"/>
        <w:ind w:firstLine="720"/>
        <w:jc w:val="both"/>
      </w:pPr>
      <w:r>
        <w:t xml:space="preserve">(d)</w:t>
      </w:r>
      <w:r xml:space="preserve">
        <w:t> </w:t>
      </w:r>
      <w:r xml:space="preserve">
        <w:t> </w:t>
      </w:r>
      <w:r>
        <w:t xml:space="preserve">A school district </w:t>
      </w:r>
      <w:r>
        <w:rPr>
          <w:u w:val="single"/>
        </w:rPr>
        <w:t xml:space="preserve">or open-enrollment charter school</w:t>
      </w:r>
      <w:r>
        <w:t xml:space="preserve"> that requests an agreement under this section, at the time </w:t>
      </w:r>
      <w:r>
        <w:rPr>
          <w:u w:val="single"/>
        </w:rPr>
        <w:t xml:space="preserve">the district or charter school</w:t>
      </w:r>
      <w:r>
        <w:t xml:space="preserve"> [</w:t>
      </w:r>
      <w:r>
        <w:rPr>
          <w:strike/>
        </w:rPr>
        <w:t xml:space="preserve">it</w:t>
      </w:r>
      <w:r>
        <w:t xml:space="preserve">] makes the request, shall send a copy of the request to the commissioner of education.  At the end of the 120-day period, the requesting district </w:t>
      </w:r>
      <w:r>
        <w:rPr>
          <w:u w:val="single"/>
        </w:rPr>
        <w:t xml:space="preserve">or charter school</w:t>
      </w:r>
      <w:r>
        <w:t xml:space="preserve"> shall report to the commissioner the status or result of negotiations with the municipality.  A municipality may send a separate status report to the commissioner.  The district </w:t>
      </w:r>
      <w:r>
        <w:rPr>
          <w:u w:val="single"/>
        </w:rPr>
        <w:t xml:space="preserve">or charter school</w:t>
      </w:r>
      <w:r>
        <w:t xml:space="preserve"> shall send to the commissioner a copy of each agreement between the district </w:t>
      </w:r>
      <w:r>
        <w:rPr>
          <w:u w:val="single"/>
        </w:rPr>
        <w:t xml:space="preserve">or charter school</w:t>
      </w:r>
      <w:r>
        <w:t xml:space="preserve">  and a municipality under this section.</w:t>
      </w:r>
    </w:p>
    <w:p w:rsidR="003F3435" w:rsidRDefault="0032493E">
      <w:pPr>
        <w:spacing w:line="480" w:lineRule="auto"/>
        <w:ind w:firstLine="720"/>
        <w:jc w:val="both"/>
      </w:pPr>
      <w:r>
        <w:t xml:space="preserve">(e)</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w:t>
      </w:r>
      <w:r>
        <w:rPr>
          <w:u w:val="single"/>
        </w:rPr>
        <w:t xml:space="preserve">Land</w:t>
      </w:r>
      <w:r>
        <w:t xml:space="preserve"> [</w:t>
      </w:r>
      <w:r>
        <w:rPr>
          <w:strike/>
        </w:rPr>
        <w:t xml:space="preserve">land</w:t>
      </w:r>
      <w:r>
        <w:t xml:space="preserve">] development standards" includes impervious cover limitations, building setbacks, floor to area ratios, building </w:t>
      </w:r>
      <w:r>
        <w:rPr>
          <w:u w:val="single"/>
        </w:rPr>
        <w:t xml:space="preserve">heights and</w:t>
      </w:r>
      <w:r>
        <w:t xml:space="preserve"> coverage, water quality controls, landscaping, development setbacks, compatibility standards, traffic analyses</w:t>
      </w:r>
      <w:r>
        <w:rPr>
          <w:u w:val="single"/>
        </w:rPr>
        <w:t xml:space="preserve">, including traffic impact analyses, parking requirements, signage requirements</w:t>
      </w:r>
      <w:r>
        <w:t xml:space="preserve">, and driveway cuts, if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"Open-enrollment charter school" means a school granted a charter under Subchapter C, D, or E, Chapter 12, Education Code.</w:t>
      </w:r>
    </w:p>
    <w:p w:rsidR="003F3435" w:rsidRDefault="0032493E">
      <w:pPr>
        <w:spacing w:line="480" w:lineRule="auto"/>
        <w:ind w:firstLine="720"/>
        <w:jc w:val="both"/>
      </w:pPr>
      <w:r>
        <w:t xml:space="preserve">(f)</w:t>
      </w:r>
      <w:r xml:space="preserve">
        <w:t> </w:t>
      </w:r>
      <w:r xml:space="preserve">
        <w:t> </w:t>
      </w:r>
      <w:r>
        <w:t xml:space="preserve">Nothing in this section shall be construed to limit the applicability of or waive fees for fire, safety, health, or building code ordinances of the municipality prior to or during construction of school buildings, nor shall any agreement waive any fee or modify any ordinance of a municipality for an administration, service, or athletic facility proposed for construction by a school district </w:t>
      </w:r>
      <w:r>
        <w:rPr>
          <w:u w:val="single"/>
        </w:rPr>
        <w:t xml:space="preserve">or open-enrollment charter school</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552.053(b),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following may be exempt:</w:t>
      </w:r>
    </w:p>
    <w:p w:rsidR="003F3435" w:rsidRDefault="0032493E">
      <w:pPr>
        <w:spacing w:line="480" w:lineRule="auto"/>
        <w:ind w:firstLine="1440"/>
        <w:jc w:val="both"/>
      </w:pPr>
      <w:r>
        <w:t xml:space="preserve">(1)</w:t>
      </w:r>
      <w:r xml:space="preserve">
        <w:t> </w:t>
      </w:r>
      <w:r xml:space="preserve">
        <w:t> </w:t>
      </w:r>
      <w:r>
        <w:t xml:space="preserve">this state;</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municipality;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w:t>
      </w:r>
      <w:r>
        <w:t xml:space="preserve">] school</w:t>
      </w:r>
      <w:r>
        <w:t xml:space="preserve"> </w:t>
      </w:r>
      <w:r>
        <w:rPr>
          <w:u w:val="single"/>
        </w:rPr>
        <w:t xml:space="preserve">districts and open-enrollment charter schools</w:t>
      </w:r>
      <w:r>
        <w:t xml:space="preserve"> [</w:t>
      </w:r>
      <w:r>
        <w:rPr>
          <w:strike/>
        </w:rPr>
        <w:t xml:space="preserve">district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12.103(c), Education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An exemption granted to a school district under Section 552.053(b)(4), Local Government Code, as that subdivision existed before the effective date of this Act, automatically extends to all open-enrollment charter schools located in the municipality after the effective date of this Act unless the municipality repeals the exemption before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