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88R2347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480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for an exemption from ad valorem taxation of property owned by a charitable organization that provides rental housing constructed, rehabilitated, or purchased with money awarded through a program administered by the General Land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11.18, Tax Code, is amended by adding Subsection (r)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(r)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exemption authorized by Subsection (d)(2) does not apply to real property that consists of rental housing constructed, rehabilitated, or purchased wholly or partly with money awarded through a program administered by the General Land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480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