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egg grading.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132.002,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132.002.</w:t>
      </w:r>
      <w:r xml:space="preserve">
        <w:t> </w:t>
      </w:r>
      <w:r xml:space="preserve">
        <w:t> </w:t>
      </w:r>
      <w:r>
        <w:rPr>
          <w:u w:val="single"/>
        </w:rPr>
        <w:t xml:space="preserve">SALE OF UNGRADED EGGS BY PRODUCER</w:t>
      </w:r>
      <w:r>
        <w:t xml:space="preserve"> [</w:t>
      </w:r>
      <w:r>
        <w:rPr>
          <w:strike/>
        </w:rPr>
        <w:t xml:space="preserve">LIMITATION OF CHAPTER</w:t>
      </w:r>
      <w:r>
        <w:t xml:space="preserve">].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apply to a person selling only eggs that are produced by the person's own flock and for which the person does not claim a grade.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sell the eggs directly to a consumer or at wholesale if the eggs are sold in a carton labeled with "ungraded" followed by "produced by (producer's name)" and the producer's address. </w:t>
      </w:r>
      <w:r>
        <w:rPr>
          <w:u w:val="single"/>
        </w:rPr>
        <w:t xml:space="preserve"> </w:t>
      </w:r>
      <w:r>
        <w:rPr>
          <w:u w:val="single"/>
        </w:rPr>
        <w:t xml:space="preserve">The label information must be legible, must appear on the top panel of the carton, and may be preprinted on the carton, printed on a label attached to the carton, or hand printed on the carton. </w:t>
      </w:r>
      <w:r>
        <w:rPr>
          <w:u w:val="single"/>
        </w:rPr>
        <w:t xml:space="preserve"> </w:t>
      </w:r>
      <w:r>
        <w:rPr>
          <w:u w:val="single"/>
        </w:rPr>
        <w:t xml:space="preserve">The carton may not display the name of a retailer or of a producer other than the producer whose flock produced the eggs.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or political subdivision may not prohibit a person described by Section 132.021(b) from purchasing, reselling, or using eggs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132.043(c),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Licensees required by this section to collect or pay a special fee shall remit the fee [</w:t>
      </w:r>
      <w:r>
        <w:rPr>
          <w:strike/>
        </w:rPr>
        <w:t xml:space="preserve">monthly</w:t>
      </w:r>
      <w:r>
        <w:t xml:space="preserve">] in accordance with rules established by the department. </w:t>
      </w:r>
      <w:r>
        <w:t xml:space="preserve"> </w:t>
      </w:r>
      <w:r>
        <w:rPr>
          <w:u w:val="single"/>
        </w:rPr>
        <w:t xml:space="preserve">The rules may not require a licensee to remit the fee more often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monthly;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annually, if the licensee is required to remit less than $360 for the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Department of Agriculture shall adopt rules consistent with Section 132.043(c), Agriculture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