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489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reports of political contributions received by candidates for certain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254, Election Code, is amended by adding Section 254.0645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254.0645.</w:t>
      </w:r>
      <w:r>
        <w:rPr>
          <w:u w:val="single"/>
        </w:rPr>
        <w:t xml:space="preserve"> </w:t>
      </w:r>
      <w:r>
        <w:rPr>
          <w:u w:val="single"/>
        </w:rPr>
        <w:t xml:space="preserve"> </w:t>
      </w:r>
      <w:r>
        <w:rPr>
          <w:u w:val="single"/>
        </w:rPr>
        <w:t xml:space="preserve">SPECIAL REPORT BY CERTAIN CANDIDATES.  (a)  In addition to other reports required by this chapter, the following candidates shall file additional reports with the commission during the period beginning January 1 and ending the ninth day before election day, who accepts during that reporting period political contributions from one person that in the aggregate exceed $10,000:</w:t>
      </w:r>
    </w:p>
    <w:p w:rsidR="003F3435" w:rsidRDefault="0032493E">
      <w:pPr>
        <w:spacing w:line="480" w:lineRule="auto"/>
        <w:ind w:firstLine="1440"/>
        <w:jc w:val="both"/>
      </w:pPr>
      <w:r>
        <w:t xml:space="preserve">(1)</w:t>
      </w:r>
      <w:r xml:space="preserve">
        <w:t> </w:t>
      </w:r>
      <w:r xml:space="preserve">
        <w:t> </w:t>
      </w:r>
      <w:r>
        <w:rPr>
          <w:u w:val="single"/>
        </w:rPr>
        <w:t xml:space="preserve">State Board of Education,</w:t>
      </w:r>
    </w:p>
    <w:p w:rsidR="003F3435" w:rsidRDefault="0032493E">
      <w:pPr>
        <w:spacing w:line="480" w:lineRule="auto"/>
        <w:ind w:firstLine="1440"/>
        <w:jc w:val="both"/>
      </w:pPr>
      <w:r>
        <w:t xml:space="preserve">(2)</w:t>
      </w:r>
      <w:r xml:space="preserve">
        <w:t> </w:t>
      </w:r>
      <w:r xml:space="preserve">
        <w:t> </w:t>
      </w:r>
      <w:r>
        <w:rPr>
          <w:u w:val="single"/>
        </w:rPr>
        <w:t xml:space="preserve">State Senator.</w:t>
      </w:r>
    </w:p>
    <w:p w:rsidR="003F3435" w:rsidRDefault="0032493E">
      <w:pPr>
        <w:spacing w:line="480" w:lineRule="auto"/>
        <w:ind w:firstLine="1440"/>
        <w:jc w:val="both"/>
      </w:pPr>
      <w:r>
        <w:t xml:space="preserve">(3)</w:t>
      </w:r>
      <w:r xml:space="preserve">
        <w:t> </w:t>
      </w:r>
      <w:r xml:space="preserve">
        <w:t> </w:t>
      </w:r>
      <w:r>
        <w:rPr>
          <w:u w:val="single"/>
        </w:rPr>
        <w:t xml:space="preserve">State Representative,</w:t>
      </w:r>
      <w:r>
        <w:t xml:space="preserve"> </w:t>
      </w:r>
    </w:p>
    <w:p w:rsidR="003F3435" w:rsidRDefault="0032493E">
      <w:pPr>
        <w:spacing w:line="480" w:lineRule="auto"/>
        <w:ind w:firstLine="1440"/>
        <w:jc w:val="both"/>
      </w:pPr>
      <w:r>
        <w:t xml:space="preserve">(4)</w:t>
      </w:r>
      <w:r xml:space="preserve">
        <w:t> </w:t>
      </w:r>
      <w:r xml:space="preserve">
        <w:t> </w:t>
      </w:r>
      <w:r>
        <w:rPr>
          <w:u w:val="single"/>
        </w:rPr>
        <w:t xml:space="preserve">County Judge,</w:t>
      </w:r>
    </w:p>
    <w:p w:rsidR="003F3435" w:rsidRDefault="0032493E">
      <w:pPr>
        <w:spacing w:line="480" w:lineRule="auto"/>
        <w:ind w:firstLine="1440"/>
        <w:jc w:val="both"/>
      </w:pPr>
      <w:r>
        <w:t xml:space="preserve">(5)</w:t>
      </w:r>
      <w:r xml:space="preserve">
        <w:t> </w:t>
      </w:r>
      <w:r xml:space="preserve">
        <w:t> </w:t>
      </w:r>
      <w:r>
        <w:rPr>
          <w:u w:val="single"/>
        </w:rPr>
        <w:t xml:space="preserve">County Commissioner, or</w:t>
      </w:r>
      <w:r>
        <w:t xml:space="preserve"> </w:t>
      </w:r>
    </w:p>
    <w:p w:rsidR="003F3435" w:rsidRDefault="0032493E">
      <w:pPr>
        <w:spacing w:line="480" w:lineRule="auto"/>
        <w:ind w:firstLine="1440"/>
        <w:jc w:val="both"/>
      </w:pPr>
      <w:r>
        <w:t xml:space="preserve">(6)</w:t>
      </w:r>
      <w:r xml:space="preserve">
        <w:t> </w:t>
      </w:r>
      <w:r xml:space="preserve">
        <w:t> </w:t>
      </w:r>
      <w:r>
        <w:rPr>
          <w:u w:val="single"/>
        </w:rPr>
        <w:t xml:space="preserve">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report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each political contribution;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full name and address of the person making the political contribution;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each political contribution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candidate who is required to file a report under this section shall file the report electronically, by telephonic facsimile machine, or by hand, in the form required by Section 254.036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 p.m. of the first business day after the date the contribution is accepted, if the report is filed by telephonic facsimile machine or hand;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midnight of the first business day after the date the contribution is accepted, if the report is filed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is not required to be accompanied by the affidavit required under Section 254.036(h) or to be submitted on a form prescribed by the commission.  A report under this section that complies with Section 254.036(a) must be accompanied by an affidavit under Section 254.036(c)(1), unless the candidate has submitted an affidavit under Section 254.036(c)(1) with another report filed in connection with the election for which a report is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 conflict between this section and Section 254.036, this section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