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491</w:t>
      </w:r>
    </w:p>
    <w:p w:rsidR="003F3435" w:rsidRDefault="0032493E">
      <w:pPr>
        <w:ind w:firstLine="720"/>
        <w:jc w:val="both"/>
      </w:pPr>
      <w:r>
        <w:t xml:space="preserve">(Hefner, Troxclair, Harris of Williamson)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building height restrictions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214.908.</w:t>
      </w:r>
      <w:r>
        <w:rPr>
          <w:u w:val="single"/>
        </w:rPr>
        <w:t xml:space="preserve"> </w:t>
      </w:r>
      <w:r>
        <w:rPr>
          <w:u w:val="single"/>
        </w:rPr>
        <w:t xml:space="preserve"> </w:t>
      </w:r>
      <w:r>
        <w:rPr>
          <w:u w:val="single"/>
        </w:rPr>
        <w:t xml:space="preserve">LIMITATION ON BUILDING HEIGHT RESTRICTION.  (a)  This section applies only to a municipality with a population of more than 725,000.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adopt or enforce an ordinance, regulation, or other measure that limits the height of a building based on the building's proximity to a lot that is located more than 50 feet from the building.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described by Subsection (b) applies to a zoning regulation that limits the maximum building height authorized for a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the proximity of a building to a lot is measured along the shortest straight line between the building and the lot's lot line.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application of a restriction or regulation imposed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3151,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law, including a restriction or regulation affecting a military base or airport;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municipality that contains a World Heritage Site declared by the United Nations Educational, Scientific and Cultural Organization and intended to protect a building or area designated for protection based on the building's or area's historical, cultural, or architectural importance and significance;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municipality related to the height of a building near an airport, including a military airport, commercial service airport, or joint-use airport.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tower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fixed, uninhabitable structure, regardless of whether free-standing or guyed;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designed to act as a shelter or to be occupied for any 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affect the validity or enforceability by any person of a restrictive covenant or deed restriction.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