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In this Act, "commission" means the Texas Commission on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in consultation with the Texas A&amp;M Engineering Extension Service, shall conduct a study to identify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effectiveness of current training provided to  9-1-1 emergency service call takers and dispatchers on communicating accurate information to law enforcement officers;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potential improvements to the training to ensure  9-1-1 emergency service call takers and dispatchers are accurately identifying, classifying, and communicating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conducting the study, the commission may collaborate with law enforcement agencies, community representatives, and other interested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 later than September 1, 2024, the commission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