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18,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Business &amp; Commerce;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operation of statewide technology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2054.378, Government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operate statewide technology centers to provide [</w:t>
      </w:r>
      <w:r>
        <w:rPr>
          <w:strike/>
        </w:rPr>
        <w:t xml:space="preserve">two or more</w:t>
      </w:r>
      <w:r>
        <w:t xml:space="preserve">] governmental entities, on a cost-sharing basis, services relating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information resources and information resources technology;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deployment, development, and maintenance of software applications.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by rule shall specify the services a statewide technology center may provide.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