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500</w:t>
      </w:r>
    </w:p>
    <w:p w:rsidR="003F3435" w:rsidRDefault="0032493E">
      <w:pPr>
        <w:ind w:firstLine="720"/>
        <w:jc w:val="both"/>
      </w:pPr>
      <w:r>
        <w:t xml:space="preserve">(Thompson of Harris, Kuempel, Hernandez, Darby, Allen)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value of a residential dwelling offered or awarded as a prize at a charitable raffle.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2002.056(b-1), Occupations Code, is amended to read as follows:</w:t>
      </w:r>
    </w:p>
    <w:p w:rsidR="003F3435" w:rsidRDefault="0032493E">
      <w:pPr>
        <w:spacing w:line="480" w:lineRule="auto"/>
        <w:ind w:firstLine="720"/>
        <w:jc w:val="both"/>
      </w:pPr>
      <w:r>
        <w:t xml:space="preserve">(b-1)</w:t>
      </w:r>
      <w:r xml:space="preserve">
        <w:t> </w:t>
      </w:r>
      <w:r xml:space="preserve">
        <w:t> </w:t>
      </w:r>
      <w:r>
        <w:t xml:space="preserve">The value of a residential dwelling offered or awarded as a prize at a raffle that is purchased by the organization or for which the organization provides any consideration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charitable raffle conducted under Chapter 2002, Occupations Code, for which a residential dwelling is offered or awarded as a prize on or after the effective date of this Act. </w:t>
      </w:r>
      <w:r>
        <w:t xml:space="preserve"> </w:t>
      </w:r>
      <w:r>
        <w:t xml:space="preserve">A charitable raffle conducted under Chapter 2002, Occupations Code, for which a residential dwelling is offered or awarded as a prize before the effective date of this Act is governed by the law in effect on the date the prize was offered or awarded,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