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88R2522 SGM-F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502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treatment, recycling for beneficial use, or disposal of drill cuttings.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123.001(2) and (3), Natural Resources Code, are amended to read as follows:</w:t>
      </w:r>
    </w:p>
    <w:p w:rsidR="003F3435" w:rsidRDefault="0032493E">
      <w:pPr>
        <w:spacing w:line="480" w:lineRule="auto"/>
        <w:ind w:firstLine="1440"/>
        <w:jc w:val="both"/>
      </w:pPr>
      <w:r>
        <w:t xml:space="preserve">(2)</w:t>
      </w:r>
      <w:r xml:space="preserve">
        <w:t> </w:t>
      </w:r>
      <w:r xml:space="preserve">
        <w:t> </w:t>
      </w:r>
      <w:r>
        <w:t xml:space="preserve">"Drill cuttings" means bits of rock or soil cut from a subsurface formation by a drill bit during the process of drilling an oil or gas well and lifted to the surface by means of the circulation of drilling mud. </w:t>
      </w:r>
      <w:r>
        <w:t xml:space="preserve"> </w:t>
      </w:r>
      <w:r>
        <w:rPr>
          <w:u w:val="single"/>
        </w:rPr>
        <w:t xml:space="preserve">The term includes any associated sand, silt, drilling fluid, spent completion fluid, workover fluid, debris, water, brine, oil scum, paraffin, or other material cleaned out of the wellbore.</w:t>
      </w:r>
    </w:p>
    <w:p w:rsidR="003F3435" w:rsidRDefault="0032493E">
      <w:pPr>
        <w:spacing w:line="480" w:lineRule="auto"/>
        <w:ind w:firstLine="1440"/>
        <w:jc w:val="both"/>
      </w:pPr>
      <w:r>
        <w:t xml:space="preserve">(3)</w:t>
      </w:r>
      <w:r xml:space="preserve">
        <w:t> </w:t>
      </w:r>
      <w:r xml:space="preserve">
        <w:t> </w:t>
      </w:r>
      <w:r>
        <w:t xml:space="preserve">"Permit holder" means a person who holds a permit from the commission to operate a stationary commercial solid oil and gas waste recycling facility </w:t>
      </w:r>
      <w:r>
        <w:rPr>
          <w:u w:val="single"/>
        </w:rPr>
        <w:t xml:space="preserve">or a commercial oil and gas waste disposal facility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123.003, Natural Resources Code, is amended to read as follows:</w:t>
      </w:r>
    </w:p>
    <w:p w:rsidR="003F3435" w:rsidRDefault="0032493E">
      <w:pPr>
        <w:spacing w:line="480" w:lineRule="auto"/>
        <w:ind w:firstLine="720"/>
        <w:jc w:val="both"/>
      </w:pPr>
      <w:r>
        <w:t xml:space="preserve">Sec.</w:t>
      </w:r>
      <w:r xml:space="preserve">
        <w:t> </w:t>
      </w:r>
      <w:r>
        <w:t xml:space="preserve">123.003.</w:t>
      </w:r>
      <w:r xml:space="preserve">
        <w:t> </w:t>
      </w:r>
      <w:r xml:space="preserve">
        <w:t> </w:t>
      </w:r>
      <w:r>
        <w:t xml:space="preserve">RESPONSIBILITY IN TORT.  </w:t>
      </w:r>
      <w:r>
        <w:rPr>
          <w:u w:val="single"/>
        </w:rPr>
        <w:t xml:space="preserve">Unless otherwise provided by a contract or other written agreement, a</w:t>
      </w:r>
      <w:r>
        <w:t xml:space="preserve"> [</w:t>
      </w:r>
      <w:r>
        <w:rPr>
          <w:strike/>
        </w:rPr>
        <w:t xml:space="preserve">A</w:t>
      </w:r>
      <w:r>
        <w:t xml:space="preserve">] person who generates drill cuttings and transfers the drill cuttings </w:t>
      </w:r>
      <w:r>
        <w:rPr>
          <w:u w:val="single"/>
        </w:rPr>
        <w:t xml:space="preserve">in an arm's length transaction</w:t>
      </w:r>
      <w:r>
        <w:t xml:space="preserve"> to </w:t>
      </w:r>
      <w:r>
        <w:rPr>
          <w:u w:val="single"/>
        </w:rPr>
        <w:t xml:space="preserve">an unaffiliated third-party</w:t>
      </w:r>
      <w:r>
        <w:t xml:space="preserve"> [</w:t>
      </w:r>
      <w:r>
        <w:rPr>
          <w:strike/>
        </w:rPr>
        <w:t xml:space="preserve">a</w:t>
      </w:r>
      <w:r>
        <w:t xml:space="preserve">] permit holder </w:t>
      </w:r>
      <w:r>
        <w:rPr>
          <w:u w:val="single"/>
        </w:rPr>
        <w:t xml:space="preserve">under a contract that requires</w:t>
      </w:r>
      <w:r>
        <w:t xml:space="preserve"> [</w:t>
      </w:r>
      <w:r>
        <w:rPr>
          <w:strike/>
        </w:rPr>
        <w:t xml:space="preserve">with the contractual understanding</w:t>
      </w:r>
      <w:r>
        <w:t xml:space="preserve">] that the drill cuttings [</w:t>
      </w:r>
      <w:r>
        <w:rPr>
          <w:strike/>
        </w:rPr>
        <w:t xml:space="preserve">will</w:t>
      </w:r>
      <w:r>
        <w:t xml:space="preserve">] be used in connection with road building or another beneficial use </w:t>
      </w:r>
      <w:r>
        <w:rPr>
          <w:u w:val="single"/>
        </w:rPr>
        <w:t xml:space="preserve">or disposed of</w:t>
      </w:r>
      <w:r>
        <w:t xml:space="preserve"> is not liable in tort for a consequence of the subsequent use </w:t>
      </w:r>
      <w:r>
        <w:rPr>
          <w:u w:val="single"/>
        </w:rPr>
        <w:t xml:space="preserve">or disposal</w:t>
      </w:r>
      <w:r>
        <w:t xml:space="preserve"> of the drill cuttings by the permit holder or by another person </w:t>
      </w:r>
      <w:r>
        <w:rPr>
          <w:u w:val="single"/>
        </w:rPr>
        <w:t xml:space="preserve">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who generates the drill cuttings has the legal and contractual right to transfer the drill cuttings to the permit holder;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method and location of the use or disposal are not prohibited by law, contract, or other written agreement;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consequence was caused solely by the permit holder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cause of action that accrues on or after the effective date of this Act.  A cause of action that accrues before the effective date of this Act is governed by the law in effect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