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505</w:t>
      </w:r>
    </w:p>
    <w:p w:rsidR="003F3435" w:rsidRDefault="0032493E">
      <w:pPr>
        <w:ind w:firstLine="720"/>
        <w:jc w:val="both"/>
      </w:pPr>
      <w:r>
        <w:t xml:space="preserve">(Canales)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