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88R925 MCK-F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509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certain mug shots.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109.005(a),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A business entity may not publish any criminal record information in the business entity's possession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with respect to which the business entity has knowledge or has received notice that:</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an order of expunction has been issued under Article 55.02, Code of Criminal Procedure; or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an order of nondisclosure of criminal history record information has been issued under Subchapter E-1, Chapter 411, Government Code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may not be released to the public under Section 552.1082, Government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552, Government Code, is amended by adding Section 552.1082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552.1082.</w:t>
      </w:r>
      <w:r>
        <w:rPr>
          <w:u w:val="single"/>
        </w:rPr>
        <w:t xml:space="preserve"> </w:t>
      </w:r>
      <w:r>
        <w:rPr>
          <w:u w:val="single"/>
        </w:rPr>
        <w:t xml:space="preserve"> </w:t>
      </w:r>
      <w:r>
        <w:rPr>
          <w:u w:val="single"/>
        </w:rPr>
        <w:t xml:space="preserve">RELEASE OF MUG SHOTS.  (a) In this section, "mug shot" means an image taken of an individual during the process of arresting the individual or booking the individual into jail.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mug shot may not be released to the public,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 has been convicted of a criminal offense, other than an offense described by Subsection (c), based upon the conduct for which the individual was arrested or incarcerated at the time the mug shot was taken;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law enforcement agency releases the mug shot after determining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individual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fugitive;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imminent threat to another individual or to public safety;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releasing the mug shot will assist in apprehending the individual or reducing or eliminating the threat;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judge orders the release of the mug shot based on a finding that the release is in furtherance of a legitimate law enforcement interest.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mug shot may not be released to the public if the mug shot was taken in association with an offense for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conviction has been expunged;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individual has been fully exonerated.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an individual was charged with multiple offenses based upon the conduct for which the individual was arrested or incarcerated at the time the mug shot was taken, and the individual was later convicted of one or more of those offenses, the individual's mug shot may be released to the public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of the convictions have been expunged;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individual has been fully exonerated of all convictions.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552.1425(a),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private entity that compiles and disseminates for compensation criminal history record information may not compile or disseminate information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with respect to which the entity has received notice that:</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an order of expunction has been issued under Article 55.02, Code of Criminal Procedure; or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an order of nondisclosure of criminal history record information has been issued under Subchapter E-1, Chapter 411</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may not be released to the public under Section 552.1082</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to a mug shot regardless of the date it was created.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