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West</w:t>
      </w:r>
      <w:r xml:space="preserve">
        <w:tab wTab="150" tlc="none" cTlc="0"/>
      </w:r>
      <w:r>
        <w:t xml:space="preserve">S.B.</w:t>
      </w:r>
      <w:r xml:space="preserve">
        <w:t> </w:t>
      </w:r>
      <w:r>
        <w:t xml:space="preserve">No.</w:t>
      </w:r>
      <w:r xml:space="preserve">
        <w:t> </w:t>
      </w:r>
      <w:r>
        <w:t xml:space="preserve">510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information maintained by state licensing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552.1176, Government Code, is amended by amending Subsection (a) and adding Subsections (d) and (e) to read as follows:</w:t>
      </w:r>
    </w:p>
    <w:p w:rsidR="003F3435" w:rsidRDefault="0032493E">
      <w:pPr>
        <w:spacing w:line="480" w:lineRule="auto"/>
        <w:ind w:firstLine="720"/>
        <w:jc w:val="both"/>
      </w:pPr>
      <w:r>
        <w:t xml:space="preserve">(a)</w:t>
      </w:r>
      <w:r xml:space="preserve">
        <w:t> </w:t>
      </w:r>
      <w:r xml:space="preserve">
        <w:t> </w:t>
      </w:r>
      <w:r>
        <w:t xml:space="preserve">Information </w:t>
      </w:r>
      <w:r>
        <w:rPr>
          <w:u w:val="single"/>
        </w:rPr>
        <w:t xml:space="preserve">maintained under Chapter 81 is confidential and may not be disclosed to the public under this chapter if the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license application;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that</w:t>
      </w:r>
      <w:r>
        <w:t xml:space="preserve">] relates to the home address, home telephone number, electronic mail address, social security number, [</w:t>
      </w:r>
      <w:r>
        <w:rPr>
          <w:strike/>
        </w:rPr>
        <w:t xml:space="preserve">or</w:t>
      </w:r>
      <w:r>
        <w:t xml:space="preserve">] date of birth</w:t>
      </w:r>
      <w:r>
        <w:rPr>
          <w:u w:val="single"/>
        </w:rPr>
        <w:t xml:space="preserve">, driver's license number, state identification number, passport number, emergency contact information, or payment information</w:t>
      </w:r>
      <w:r>
        <w:t xml:space="preserve"> of </w:t>
      </w:r>
      <w:r>
        <w:rPr>
          <w:u w:val="single"/>
        </w:rPr>
        <w:t xml:space="preserve">an individual</w:t>
      </w:r>
      <w:r>
        <w:t xml:space="preserve"> </w:t>
      </w:r>
      <w:r>
        <w:t xml:space="preserve">[</w:t>
      </w:r>
      <w:r>
        <w:rPr>
          <w:strike/>
        </w:rPr>
        <w:t xml:space="preserve">a person</w:t>
      </w:r>
      <w:r>
        <w:t xml:space="preserve">] licensed to practice law in this state [</w:t>
      </w:r>
      <w:r>
        <w:rPr>
          <w:strike/>
        </w:rPr>
        <w:t xml:space="preserve">that is maintained under Chapter 81 is confidential and may not be disclosed to the public under this chapter if the person to whom the information relates: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chooses to restrict public access to the information;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notifies the State Bar of Texas of the person's choice, in writing or electronically, on a form provided by the state bar</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(a) does not make confidential or except from required public disclosure the name, state bar identification number, membership class, or eligibility to practice law of an applicant for a license, a license holder, or an individual who previously held a license.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To the extent of any conflict, this section prevails over another law that authorizes or requires the release of information maintained by the State Bar of Texas.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552, Government Code, is amended by adding Section 552.11765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552.11765.</w:t>
      </w:r>
      <w:r>
        <w:rPr>
          <w:u w:val="single"/>
        </w:rPr>
        <w:t xml:space="preserve"> </w:t>
      </w:r>
      <w:r>
        <w:rPr>
          <w:u w:val="single"/>
        </w:rPr>
        <w:t xml:space="preserve"> </w:t>
      </w:r>
      <w:r>
        <w:rPr>
          <w:u w:val="single"/>
        </w:rPr>
        <w:t xml:space="preserve">CONFIDENTIALITY OF CERTAIN INFORMATION MAINTAINED BY STATE LICENSING AUTHORITY. </w:t>
      </w:r>
      <w:r>
        <w:rPr>
          <w:u w:val="single"/>
        </w:rPr>
        <w:t xml:space="preserve"> </w:t>
      </w:r>
      <w:r>
        <w:rPr>
          <w:u w:val="single"/>
        </w:rPr>
        <w:t xml:space="preserve">(a) </w:t>
      </w:r>
      <w:r>
        <w:rPr>
          <w:u w:val="single"/>
        </w:rPr>
        <w:t xml:space="preserve"> </w:t>
      </w:r>
      <w:r>
        <w:rPr>
          <w:u w:val="single"/>
        </w:rPr>
        <w:t xml:space="preserve">In this section, "license" means a license, certificate, registration, permit, or other authorization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issued by a governmental body described by Section 552.003(1)(A)(i);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must obtain to practice or engage in a particular business, occupation, or profession.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Subsections (c) and (d), information maintained by a governmental body described by Section 552.003(1)(A)(i) is confidential and excepted from the requirements of Section 552.021 if the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license application;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relates to the home address, home telephone number, electronic mail address, social security number, date of birth, driver's license number, state identification number, passport number, emergency contact information, or payment information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applicant for a license issued by the governmental body;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who holds a license issued by the governmental body;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individual who previously held a license issued by the governmental body.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does not make confidential or except from required public disclosure the name, license number, or license status of an applicant for a license, a license holder, or an individual who previously held a license.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a license issued under Chapter 42, 43, 103, or 161, Human Resources Code, or Chapter 142, 242, 247, 248A, 250, or 252, Health and Safety Code, Subsection (b) does not prohibit the disclosure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last four digits of the social security number of a license holder in connection with a verification of employability or an employee misconduct registry search provided by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home address where activity regulated by the licensing authority occurs;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e-mail address or phone number associated with activity regulated by the licensing authority.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To the extent of any conflict, this section prevails over another law that authorizes or requires the release of information maintained by a governmental body.</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Subchapter D, Chapter 507, Occupations Code, is amended by adding Section 507.161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507.161.</w:t>
      </w:r>
      <w:r>
        <w:rPr>
          <w:u w:val="single"/>
        </w:rPr>
        <w:t xml:space="preserve"> </w:t>
      </w:r>
      <w:r>
        <w:rPr>
          <w:u w:val="single"/>
        </w:rPr>
        <w:t xml:space="preserve"> </w:t>
      </w:r>
      <w:r>
        <w:rPr>
          <w:u w:val="single"/>
        </w:rPr>
        <w:t xml:space="preserve">CONFIDENTIALITY OF HOME ADDRESS AND TELEPHONE NUMBER.  Except as provided by Section 507.160(d), the home address and telephone number of a license holder are confidential and not subject to disclosure under Chapter 552, Government Code.</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Section 552.1176(b), Government Code, is repealed.</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The changes in law made by this Act apply only to a request for public information received by a governmental body, including the State Bar of Texas, or an officer for public information on or after the effective date of this Act.</w:t>
      </w:r>
    </w:p>
    <w:p w:rsidR="003F3435" w:rsidRDefault="0032493E">
      <w:pPr>
        <w:spacing w:line="480" w:lineRule="auto"/>
        <w:ind w:firstLine="720"/>
        <w:jc w:val="both"/>
      </w:pPr>
      <w:r>
        <w:t xml:space="preserve">SECTION</w:t>
      </w:r>
      <w:r xml:space="preserve">
        <w:t> </w:t>
      </w:r>
      <w:r>
        <w:t xml:space="preserve">6.</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