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510</w:t>
      </w:r>
    </w:p>
    <w:p w:rsidR="003F3435" w:rsidRDefault="0032493E">
      <w:pPr>
        <w:ind w:firstLine="720"/>
        <w:jc w:val="both"/>
      </w:pPr>
      <w:r>
        <w:t xml:space="preserve">(Longoria)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Information </w:t>
      </w:r>
      <w:r>
        <w:rPr>
          <w:u w:val="single"/>
        </w:rPr>
        <w:t xml:space="preserve">maintained under Chapter 81 is confidential and may not be disclosed to the public under this chapter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relates to the home address, home telephone number, electronic mail address, social security number, [</w:t>
      </w:r>
      <w:r>
        <w:rPr>
          <w:strike/>
        </w:rPr>
        <w:t xml:space="preserve">or</w:t>
      </w:r>
      <w:r>
        <w:t xml:space="preserve">] date of birth</w:t>
      </w:r>
      <w:r>
        <w:rPr>
          <w:u w:val="single"/>
        </w:rPr>
        <w:t xml:space="preserve">, driver's license number, state identification number, passport number, emergency contact information, or payment information</w:t>
      </w:r>
      <w:r>
        <w:t xml:space="preserve"> of </w:t>
      </w:r>
      <w:r>
        <w:rPr>
          <w:u w:val="single"/>
        </w:rPr>
        <w:t xml:space="preserve">an individual</w:t>
      </w:r>
      <w:r>
        <w:t xml:space="preserve"> </w:t>
      </w:r>
      <w:r>
        <w:t xml:space="preserve">[</w:t>
      </w:r>
      <w:r>
        <w:rPr>
          <w:strike/>
        </w:rPr>
        <w:t xml:space="preserve">a person</w:t>
      </w:r>
      <w:r>
        <w:t xml:space="preserve">] licensed to practice law in this state [</w:t>
      </w:r>
      <w:r>
        <w:rPr>
          <w:strike/>
        </w:rPr>
        <w:t xml:space="preserve">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chooses to restrict public access to the information;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notifies the State Bar of Texas of the person's choice, in writing or electronically, on a form provided by the state bar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the State Bar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 </w:t>
      </w:r>
      <w:r>
        <w:rPr>
          <w:u w:val="single"/>
        </w:rPr>
        <w:t xml:space="preserve"> </w:t>
      </w:r>
      <w:r>
        <w:rPr>
          <w:u w:val="single"/>
        </w:rPr>
        <w:t xml:space="preserve">(a)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information maintained by a governmental body described by Section 552.003(1)(A)(i) is confidential and excepted from the requirements of Section 552.021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previously held a license issued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license issued under Chapter 42, 43, 103, or 161, Human Resources Code, or Chapter 142, 242, 247, 248A, 250, or 252, Health and Safety Code, Subsection (b) does not prohibit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home address where activity regulated by the licensing authority occurs;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e-mail address or phone number associated with activity regulated by the licensing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a governmental body.</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D, Chapter 507, Occupations Code, is amended by adding Section 507.161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507.161.</w:t>
      </w:r>
      <w:r>
        <w:rPr>
          <w:u w:val="single"/>
        </w:rPr>
        <w:t xml:space="preserve"> </w:t>
      </w:r>
      <w:r>
        <w:rPr>
          <w:u w:val="single"/>
        </w:rPr>
        <w:t xml:space="preserve"> </w:t>
      </w:r>
      <w:r>
        <w:rPr>
          <w:u w:val="single"/>
        </w:rPr>
        <w:t xml:space="preserve">CONFIDENTIALITY OF HOME ADDRESS AND TELEPHONE NUMBER.  Except as provided by Section 507.160(d), the home address and telephone number of a license holder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552.1176(b), Government Code, is repealed.</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