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88R6847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518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consideration of standardized test scores as a factor in nonautomatic admissions decisions at certain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51.805(b),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general academic teaching institution, after admitting students under Sections 51.803 and 51.804, shall admit other applicants for admission as undergraduate students.  It is the intent of the legislature that all institutions of higher education pursue academic excellence by considering students' academic achievements in decisions related to admissions.  </w:t>
      </w:r>
      <w:r>
        <w:rPr>
          <w:u w:val="single"/>
        </w:rPr>
        <w:t xml:space="preserve">In making first-time freshmen admissions decisions, each</w:t>
      </w:r>
      <w:r>
        <w:t xml:space="preserve"> [</w:t>
      </w:r>
      <w:r>
        <w:rPr>
          <w:strike/>
        </w:rPr>
        <w:t xml:space="preserve">Because of changing demographic trends, diversity, and population increases in the state, each</w:t>
      </w:r>
      <w:r>
        <w:t xml:space="preserve">] general academic teaching institution shall also consider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performance on a standardized test appropriate for undergraduate admissions;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because of changing demographic trends, diversity, and population increases in the state,</w:t>
      </w:r>
      <w:r>
        <w:t xml:space="preserve"> all of, any of, or a combination of the following socioeconomic indicators or factors [</w:t>
      </w:r>
      <w:r>
        <w:rPr>
          <w:strike/>
        </w:rPr>
        <w:t xml:space="preserve">in making first-time freshman admissions decisions</w:t>
      </w:r>
      <w:r>
        <w:t xml:space="preserv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applicant's academic record;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socioeconomic background of the applicant, including the percentage by which the applicant's family is above or below any recognized measure of poverty, the applicant's household income, and the applicant's parents' level of education;</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whether the applicant would be the first generation of the applicant's family to attend or graduate from an institution of higher education;</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whether the applicant has bilingual proficiency;</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financial status of the applicant's school district;</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the performance level of the applicant's school as determined by the school accountability criteria used by the Texas Education Agency;</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the applicant's responsibilities while attending school, including whether the applicant has been employed, whether the applicant has helped to raise children, or other similar factors;</w:t>
      </w:r>
    </w:p>
    <w:p w:rsidR="003F3435" w:rsidRDefault="0032493E">
      <w:pPr>
        <w:spacing w:line="480" w:lineRule="auto"/>
        <w:ind w:firstLine="2160"/>
        <w:jc w:val="both"/>
      </w:pPr>
      <w:r>
        <w:rPr>
          <w:u w:val="single"/>
        </w:rPr>
        <w:t xml:space="preserve">(H)</w:t>
      </w:r>
      <w:r xml:space="preserve">
        <w:t> </w:t>
      </w:r>
      <w:r>
        <w:t xml:space="preserve">[</w:t>
      </w:r>
      <w:r>
        <w:rPr>
          <w:strike/>
        </w:rPr>
        <w:t xml:space="preserve">(8)</w:t>
      </w:r>
      <w:r>
        <w:t xml:space="preserve">]</w:t>
      </w:r>
      <w:r xml:space="preserve">
        <w:t> </w:t>
      </w:r>
      <w:r xml:space="preserve">
        <w:t> </w:t>
      </w:r>
      <w:r>
        <w:t xml:space="preserve">the applicant's region of residence;</w:t>
      </w:r>
    </w:p>
    <w:p w:rsidR="003F3435" w:rsidRDefault="0032493E">
      <w:pPr>
        <w:spacing w:line="480" w:lineRule="auto"/>
        <w:ind w:firstLine="2160"/>
        <w:jc w:val="both"/>
      </w:pPr>
      <w:r>
        <w:rPr>
          <w:u w:val="single"/>
        </w:rPr>
        <w:t xml:space="preserve">(I)</w:t>
      </w:r>
      <w:r xml:space="preserve">
        <w:t> </w:t>
      </w:r>
      <w:r>
        <w:t xml:space="preserve">[</w:t>
      </w:r>
      <w:r>
        <w:rPr>
          <w:strike/>
        </w:rPr>
        <w:t xml:space="preserve">(9)</w:t>
      </w:r>
      <w:r>
        <w:t xml:space="preserve">]</w:t>
      </w:r>
      <w:r xml:space="preserve">
        <w:t> </w:t>
      </w:r>
      <w:r xml:space="preserve">
        <w:t> </w:t>
      </w:r>
      <w:r>
        <w:t xml:space="preserve">whether the applicant is a resident of a rural or urban area or a resident of a central city or suburban area in the state;</w:t>
      </w:r>
    </w:p>
    <w:p w:rsidR="003F3435" w:rsidRDefault="0032493E">
      <w:pPr>
        <w:spacing w:line="480" w:lineRule="auto"/>
        <w:ind w:firstLine="2160"/>
        <w:jc w:val="both"/>
      </w:pPr>
      <w:r>
        <w:rPr>
          <w:u w:val="single"/>
        </w:rPr>
        <w:t xml:space="preserve">(J)</w:t>
      </w:r>
      <w:r xml:space="preserve">
        <w:t> </w:t>
      </w:r>
      <w:r>
        <w:t xml:space="preserve">[</w:t>
      </w:r>
      <w:r>
        <w:rPr>
          <w:strike/>
        </w:rPr>
        <w:t xml:space="preserve">(10)</w:t>
      </w:r>
      <w:r xml:space="preserve">
        <w:rPr>
          <w:strike/>
        </w:rPr>
        <w:t> </w:t>
      </w:r>
      <w:r xml:space="preserve">
        <w:rPr>
          <w:strike/>
        </w:rPr>
        <w:t> </w:t>
      </w:r>
      <w:r>
        <w:rPr>
          <w:strike/>
        </w:rPr>
        <w:t xml:space="preserve">the applicant's performance on standardized tests;</w:t>
      </w:r>
    </w:p>
    <w:p w:rsidR="003F3435" w:rsidRDefault="0032493E">
      <w:pPr>
        <w:spacing w:line="480" w:lineRule="auto"/>
        <w:ind w:firstLine="1440"/>
        <w:jc w:val="both"/>
      </w:pPr>
      <w:r>
        <w:t xml:space="preserve">[</w:t>
      </w:r>
      <w:r>
        <w:rPr>
          <w:strike/>
        </w:rPr>
        <w:t xml:space="preserve">(11)</w:t>
      </w:r>
      <w:r>
        <w:t xml:space="preserve">]</w:t>
      </w:r>
      <w:r xml:space="preserve">
        <w:t> </w:t>
      </w:r>
      <w:r xml:space="preserve">
        <w:t> </w:t>
      </w:r>
      <w:r>
        <w:t xml:space="preserve">the applicant's performance on standardized tests in comparison with that of other students from similar socioeconomic backgrounds;</w:t>
      </w:r>
    </w:p>
    <w:p w:rsidR="003F3435" w:rsidRDefault="0032493E">
      <w:pPr>
        <w:spacing w:line="480" w:lineRule="auto"/>
        <w:ind w:firstLine="2160"/>
        <w:jc w:val="both"/>
      </w:pPr>
      <w:r>
        <w:rPr>
          <w:u w:val="single"/>
        </w:rPr>
        <w:t xml:space="preserve">(K)</w:t>
      </w:r>
      <w:r xml:space="preserve">
        <w:t> </w:t>
      </w:r>
      <w:r>
        <w:t xml:space="preserve">[</w:t>
      </w:r>
      <w:r>
        <w:rPr>
          <w:strike/>
        </w:rPr>
        <w:t xml:space="preserve">(12)</w:t>
      </w:r>
      <w:r>
        <w:t xml:space="preserve">]</w:t>
      </w:r>
      <w:r xml:space="preserve">
        <w:t> </w:t>
      </w:r>
      <w:r xml:space="preserve">
        <w:t> </w:t>
      </w:r>
      <w:r>
        <w:t xml:space="preserve">whether the applicant attended any school while the school was under a court-ordered desegregation plan;</w:t>
      </w:r>
    </w:p>
    <w:p w:rsidR="003F3435" w:rsidRDefault="0032493E">
      <w:pPr>
        <w:spacing w:line="480" w:lineRule="auto"/>
        <w:ind w:firstLine="2160"/>
        <w:jc w:val="both"/>
      </w:pPr>
      <w:r>
        <w:rPr>
          <w:u w:val="single"/>
        </w:rPr>
        <w:t xml:space="preserve">(L)</w:t>
      </w:r>
      <w:r xml:space="preserve">
        <w:t> </w:t>
      </w:r>
      <w:r>
        <w:t xml:space="preserve">[</w:t>
      </w:r>
      <w:r>
        <w:rPr>
          <w:strike/>
        </w:rPr>
        <w:t xml:space="preserve">(13)</w:t>
      </w:r>
      <w:r>
        <w:t xml:space="preserve">]</w:t>
      </w:r>
      <w:r xml:space="preserve">
        <w:t> </w:t>
      </w:r>
      <w:r xml:space="preserve">
        <w:t> </w:t>
      </w:r>
      <w:r>
        <w:t xml:space="preserve">the applicant's involvement in community activities;</w:t>
      </w:r>
    </w:p>
    <w:p w:rsidR="003F3435" w:rsidRDefault="0032493E">
      <w:pPr>
        <w:spacing w:line="480" w:lineRule="auto"/>
        <w:ind w:firstLine="2160"/>
        <w:jc w:val="both"/>
      </w:pPr>
      <w:r>
        <w:rPr>
          <w:u w:val="single"/>
        </w:rPr>
        <w:t xml:space="preserve">(M)</w:t>
      </w:r>
      <w:r xml:space="preserve">
        <w:t> </w:t>
      </w:r>
      <w:r>
        <w:t xml:space="preserve">[</w:t>
      </w:r>
      <w:r>
        <w:rPr>
          <w:strike/>
        </w:rPr>
        <w:t xml:space="preserve">(14)</w:t>
      </w:r>
      <w:r>
        <w:t xml:space="preserve">]</w:t>
      </w:r>
      <w:r xml:space="preserve">
        <w:t> </w:t>
      </w:r>
      <w:r xml:space="preserve">
        <w:t> </w:t>
      </w:r>
      <w:r>
        <w:t xml:space="preserve">the applicant's extracurricular activities;</w:t>
      </w:r>
    </w:p>
    <w:p w:rsidR="003F3435" w:rsidRDefault="0032493E">
      <w:pPr>
        <w:spacing w:line="480" w:lineRule="auto"/>
        <w:ind w:firstLine="2160"/>
        <w:jc w:val="both"/>
      </w:pPr>
      <w:r>
        <w:rPr>
          <w:u w:val="single"/>
        </w:rPr>
        <w:t xml:space="preserve">(N)</w:t>
      </w:r>
      <w:r xml:space="preserve">
        <w:t> </w:t>
      </w:r>
      <w:r>
        <w:t xml:space="preserve">[</w:t>
      </w:r>
      <w:r>
        <w:rPr>
          <w:strike/>
        </w:rPr>
        <w:t xml:space="preserve">(15)</w:t>
      </w:r>
      <w:r>
        <w:t xml:space="preserve">]</w:t>
      </w:r>
      <w:r xml:space="preserve">
        <w:t> </w:t>
      </w:r>
      <w:r xml:space="preserve">
        <w:t> </w:t>
      </w:r>
      <w:r>
        <w:t xml:space="preserve">the applicant's commitment to a particular field of study;</w:t>
      </w:r>
    </w:p>
    <w:p w:rsidR="003F3435" w:rsidRDefault="0032493E">
      <w:pPr>
        <w:spacing w:line="480" w:lineRule="auto"/>
        <w:ind w:firstLine="2160"/>
        <w:jc w:val="both"/>
      </w:pPr>
      <w:r>
        <w:rPr>
          <w:u w:val="single"/>
        </w:rPr>
        <w:t xml:space="preserve">(O)</w:t>
      </w:r>
      <w:r xml:space="preserve">
        <w:t> </w:t>
      </w:r>
      <w:r>
        <w:t xml:space="preserve">[</w:t>
      </w:r>
      <w:r>
        <w:rPr>
          <w:strike/>
        </w:rPr>
        <w:t xml:space="preserve">(16)</w:t>
      </w:r>
      <w:r>
        <w:t xml:space="preserve">]</w:t>
      </w:r>
      <w:r xml:space="preserve">
        <w:t> </w:t>
      </w:r>
      <w:r xml:space="preserve">
        <w:t> </w:t>
      </w:r>
      <w:r>
        <w:t xml:space="preserve">the applicant's personal interview;</w:t>
      </w:r>
    </w:p>
    <w:p w:rsidR="003F3435" w:rsidRDefault="0032493E">
      <w:pPr>
        <w:spacing w:line="480" w:lineRule="auto"/>
        <w:ind w:firstLine="2160"/>
        <w:jc w:val="both"/>
      </w:pPr>
      <w:r>
        <w:rPr>
          <w:u w:val="single"/>
        </w:rPr>
        <w:t xml:space="preserve">(P)</w:t>
      </w:r>
      <w:r xml:space="preserve">
        <w:t> </w:t>
      </w:r>
      <w:r>
        <w:t xml:space="preserve">[</w:t>
      </w:r>
      <w:r>
        <w:rPr>
          <w:strike/>
        </w:rPr>
        <w:t xml:space="preserve">(17)</w:t>
      </w:r>
      <w:r>
        <w:t xml:space="preserve">]</w:t>
      </w:r>
      <w:r xml:space="preserve">
        <w:t> </w:t>
      </w:r>
      <w:r xml:space="preserve">
        <w:t> </w:t>
      </w:r>
      <w:r>
        <w:t xml:space="preserve">the applicant's admission to a comparable accredited out-of-state institution; and</w:t>
      </w:r>
    </w:p>
    <w:p w:rsidR="003F3435" w:rsidRDefault="0032493E">
      <w:pPr>
        <w:spacing w:line="480" w:lineRule="auto"/>
        <w:ind w:firstLine="2160"/>
        <w:jc w:val="both"/>
      </w:pPr>
      <w:r>
        <w:rPr>
          <w:u w:val="single"/>
        </w:rPr>
        <w:t xml:space="preserve">(Q)</w:t>
      </w:r>
      <w:r xml:space="preserve">
        <w:t> </w:t>
      </w:r>
      <w:r>
        <w:t xml:space="preserve">[</w:t>
      </w:r>
      <w:r>
        <w:rPr>
          <w:strike/>
        </w:rPr>
        <w:t xml:space="preserve">(18)</w:t>
      </w:r>
      <w:r>
        <w:t xml:space="preserve">]</w:t>
      </w:r>
      <w:r xml:space="preserve">
        <w:t> </w:t>
      </w:r>
      <w:r xml:space="preserve">
        <w:t> </w:t>
      </w:r>
      <w:r>
        <w:t xml:space="preserve">any other consideration the institution considers necessary to accomplish the institution's stated 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51.842, Education Code, is amended by adding Subsections (a-1) and (b-1)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making admissions decisions for the program, a graduate or professional program of a general academic teaching institution or medical or dental unit shall consider an applicant's performance on a standardized test appropriate for the program, except that the applicant's performance on the standardized test may not be used as the sole criterion for consideration of the applicant or as the primary criterion to end consideration of the applicant.  The applicant's performance on the standardized test must also be used to compare the applicant's test score with those of other applicants from similar socioeconomic backgrounds to the extent that those backgrounds can be properly determined and identified by the general academic teaching institution or medical and dental unit based on information provided in the institution's or unit's admissions process.</w:t>
      </w:r>
    </w:p>
    <w:p w:rsidR="003F3435" w:rsidRDefault="0032493E">
      <w:pPr>
        <w:spacing w:line="480" w:lineRule="auto"/>
        <w:ind w:firstLine="720"/>
        <w:jc w:val="both"/>
      </w:pPr>
      <w:r>
        <w:t xml:space="preserve">(b)</w:t>
      </w:r>
      <w:r xml:space="preserve">
        <w:t> </w:t>
      </w:r>
      <w:r xml:space="preserve">
        <w:t> </w:t>
      </w:r>
      <w:r>
        <w:t xml:space="preserve">An applicant's performance on a standardized test may not be used in the [</w:t>
      </w:r>
      <w:r>
        <w:rPr>
          <w:strike/>
        </w:rPr>
        <w:t xml:space="preserve">admissions or</w:t>
      </w:r>
      <w:r>
        <w:t xml:space="preserve">] competitive scholarship process for a graduate or professional program as the sole criterion for consideration of the applicant or as the primary criterion to end consideration of the applicant.  If an applicant's performance on a standardized test is used in the [</w:t>
      </w:r>
      <w:r>
        <w:rPr>
          <w:strike/>
        </w:rPr>
        <w:t xml:space="preserve">admissions or</w:t>
      </w:r>
      <w:r>
        <w:t xml:space="preserve">] competitive scholarship process, the applicant's performance must also be used to compare the applicant's test score with those of other applicants from similar socioeconomic backgrounds to the extent that those backgrounds can be properly determined and identified by the general academic teaching institution or medical and dental unit based on information provided in the institution's or unit's [</w:t>
      </w:r>
      <w:r>
        <w:rPr>
          <w:strike/>
        </w:rPr>
        <w:t xml:space="preserve">admissions or</w:t>
      </w:r>
      <w:r>
        <w:t xml:space="preserve">] competitive scholarship process.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Subsections (a-1) and (b) do</w:t>
      </w:r>
      <w:r>
        <w:t xml:space="preserve"> [</w:t>
      </w:r>
      <w:r>
        <w:rPr>
          <w:strike/>
        </w:rPr>
        <w:t xml:space="preserve">This subsection does</w:t>
      </w:r>
      <w:r>
        <w:t xml:space="preserve">] not apply to a standardized test used to measure the English language proficiency of a student who is a graduate of a foreign institution of higher education.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51.805 and 51.842, Education Code, as amended by this Act, apply beginning with admissions for the 2024 fall semester.  Admissions for an academic period before the 2024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