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88R3507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criminal offenses concerning the unlawful transfer or purchase of certain weapons;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46.06, Penal Code, is amended to read as follows:</w:t>
      </w:r>
    </w:p>
    <w:p w:rsidR="003F3435" w:rsidRDefault="0032493E">
      <w:pPr>
        <w:spacing w:line="480" w:lineRule="auto"/>
        <w:ind w:firstLine="720"/>
        <w:jc w:val="both"/>
      </w:pPr>
      <w:r>
        <w:t xml:space="preserve">Sec.</w:t>
      </w:r>
      <w:r xml:space="preserve">
        <w:t> </w:t>
      </w:r>
      <w:r>
        <w:t xml:space="preserve">46.06.</w:t>
      </w:r>
      <w:r xml:space="preserve">
        <w:t> </w:t>
      </w:r>
      <w:r xml:space="preserve">
        <w:t> </w:t>
      </w:r>
      <w:r>
        <w:t xml:space="preserve">UNLAWFUL TRANSFER </w:t>
      </w:r>
      <w:r>
        <w:rPr>
          <w:u w:val="single"/>
        </w:rPr>
        <w:t xml:space="preserve">OR PURCHASE</w:t>
      </w:r>
      <w:r>
        <w:t xml:space="preserve"> OF CERTAIN WEAPONS.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46.06, Penal Code, is amended by amending Subsections (a), (c), and (d) and adding Subsections (a-1), (c-1), (e), and (f)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w:t>
      </w:r>
      <w:r>
        <w:rPr>
          <w:u w:val="single"/>
        </w:rPr>
        <w:t xml:space="preserve">firearm</w:t>
      </w:r>
      <w:r>
        <w:t xml:space="preserve"> </w:t>
      </w:r>
      <w:r>
        <w:t xml:space="preserve">[</w:t>
      </w:r>
      <w:r>
        <w:rPr>
          <w:strike/>
        </w:rPr>
        <w:t xml:space="preserve">handgun</w:t>
      </w:r>
      <w:r>
        <w:t xml:space="preserve">] to any person knowing that the person to whom the </w:t>
      </w:r>
      <w:r>
        <w:rPr>
          <w:u w:val="single"/>
        </w:rPr>
        <w:t xml:space="preserve">firearm</w:t>
      </w:r>
      <w:r>
        <w:t xml:space="preserve"> </w:t>
      </w:r>
      <w:r>
        <w:t xml:space="preserve">[</w:t>
      </w:r>
      <w:r>
        <w:rPr>
          <w:strike/>
        </w:rPr>
        <w:t xml:space="preserve">handgun</w:t>
      </w:r>
      <w:r>
        <w:t xml:space="preserve">] is to be delivered intends to use </w:t>
      </w:r>
      <w:r>
        <w:rPr>
          <w:u w:val="single"/>
        </w:rPr>
        <w:t xml:space="preserve">the firearm</w:t>
      </w:r>
      <w:r>
        <w:t xml:space="preserve"> [</w:t>
      </w:r>
      <w:r>
        <w:rPr>
          <w:strike/>
        </w:rPr>
        <w:t xml:space="preserve">it</w:t>
      </w:r>
      <w:r>
        <w:t xml:space="preserve">] unlawfully or in the commission of an unlawful act; </w:t>
      </w:r>
      <w:r>
        <w:rPr>
          <w:u w:val="single"/>
        </w:rPr>
        <w:t xml:space="preserve">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purchases or attempts to purchase a firearm with intent to deliver the firearm to a person knowing that the person to whom the firearm is to be delivered intends to possess the firearm unlawfully or to use the firearm unlawfully or in the commission of an unlawful act.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knowingly purchases, rents, leases, or receives as a loan or gift from another a handgun while an active protective order is directed to the actor;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w:t>
      </w:r>
      <w:r>
        <w:rPr>
          <w:u w:val="single"/>
        </w:rPr>
        <w:t xml:space="preserve">(a-1)(1)</w:t>
      </w:r>
      <w:r>
        <w:t xml:space="preserve"> [</w:t>
      </w:r>
      <w:r>
        <w:rPr>
          <w:strike/>
        </w:rPr>
        <w:t xml:space="preserve">(a)(2)</w:t>
      </w:r>
      <w:r>
        <w:t xml:space="preserve">]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renunciation defense described by Section 15.04(a) is available as an affirmative defense to prosecution of an attempted purchase under Subsection (a)(2).</w:t>
      </w:r>
    </w:p>
    <w:p w:rsidR="003F3435" w:rsidRDefault="0032493E">
      <w:pPr>
        <w:spacing w:line="480" w:lineRule="auto"/>
        <w:ind w:firstLine="720"/>
        <w:jc w:val="both"/>
      </w:pPr>
      <w:r>
        <w:t xml:space="preserve">(d)</w:t>
      </w:r>
      <w:r xml:space="preserve">
        <w:t> </w:t>
      </w:r>
      <w:r xml:space="preserve">
        <w:t> </w:t>
      </w:r>
      <w:r>
        <w:rPr>
          <w:u w:val="single"/>
        </w:rPr>
        <w:t xml:space="preserve">An offense under Subsection (a) is a felony of the third degree.</w:t>
      </w:r>
    </w:p>
    <w:p w:rsidR="003F3435" w:rsidRDefault="0032493E">
      <w:pPr>
        <w:spacing w:line="480" w:lineRule="auto"/>
        <w:ind w:firstLine="720"/>
        <w:jc w:val="both"/>
      </w:pPr>
      <w:r>
        <w:rPr>
          <w:u w:val="single"/>
        </w:rPr>
        <w:t xml:space="preserve">(e)</w:t>
      </w:r>
      <w:r xml:space="preserve">
        <w:t> </w:t>
      </w:r>
      <w:r xml:space="preserve">
        <w:t> </w:t>
      </w:r>
      <w:r>
        <w:t xml:space="preserve">An offense under </w:t>
      </w:r>
      <w:r>
        <w:rPr>
          <w:u w:val="single"/>
        </w:rPr>
        <w:t xml:space="preserve">Subsection (a-1)</w:t>
      </w:r>
      <w:r>
        <w:t xml:space="preserve"> [</w:t>
      </w:r>
      <w:r>
        <w:rPr>
          <w:strike/>
        </w:rPr>
        <w:t xml:space="preserve">this section</w:t>
      </w:r>
      <w:r>
        <w:t xml:space="preserve">]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w:t>
      </w:r>
      <w:r>
        <w:rPr>
          <w:u w:val="single"/>
        </w:rPr>
        <w:t xml:space="preserve">(a-1)(1)</w:t>
      </w:r>
      <w:r>
        <w:t xml:space="preserve"> [</w:t>
      </w:r>
      <w:r>
        <w:rPr>
          <w:strike/>
        </w:rPr>
        <w:t xml:space="preserve">(a)(2)</w:t>
      </w:r>
      <w:r>
        <w:t xml:space="preserve">] is a state jail felony if the weapon that is the subject of the offense is a handgun; and</w:t>
      </w:r>
    </w:p>
    <w:p w:rsidR="003F3435" w:rsidRDefault="0032493E">
      <w:pPr>
        <w:spacing w:line="480" w:lineRule="auto"/>
        <w:ind w:firstLine="1440"/>
        <w:jc w:val="both"/>
      </w:pPr>
      <w:r>
        <w:t xml:space="preserve">(2)</w:t>
      </w:r>
      <w:r xml:space="preserve">
        <w:t> </w:t>
      </w:r>
      <w:r xml:space="preserve">
        <w:t> </w:t>
      </w:r>
      <w:r>
        <w:t xml:space="preserve">an offense under Subsection </w:t>
      </w:r>
      <w:r>
        <w:rPr>
          <w:u w:val="single"/>
        </w:rPr>
        <w:t xml:space="preserve">(a-1)(6)</w:t>
      </w:r>
      <w:r>
        <w:t xml:space="preserve"> [</w:t>
      </w:r>
      <w:r>
        <w:rPr>
          <w:strike/>
        </w:rPr>
        <w:t xml:space="preserve">(a)(7)</w:t>
      </w:r>
      <w:r>
        <w:t xml:space="preserve">] is a state jail felony.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the extent of any conflict between this section and a federal law related to the unlawful transfer or purchase of weapons, the federal law prevails.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w:t>
      </w:r>
      <w:r>
        <w:rPr>
          <w:u w:val="single"/>
        </w:rPr>
        <w:t xml:space="preserve">46.06(a)</w:t>
      </w:r>
      <w:r>
        <w:t xml:space="preserve"> </w:t>
      </w:r>
      <w:r>
        <w:t xml:space="preserve">[</w:t>
      </w:r>
      <w:r>
        <w:rPr>
          <w:strike/>
        </w:rPr>
        <w:t xml:space="preserve">46.06(a)(1)</w:t>
      </w:r>
      <w:r>
        <w:t xml:space="preserve">]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or</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w:t>
      </w:r>
      <w:r>
        <w:rPr>
          <w:u w:val="single"/>
        </w:rPr>
        <w:t xml:space="preserve">46.06(a)</w:t>
      </w:r>
      <w:r>
        <w:t xml:space="preserve"> [</w:t>
      </w:r>
      <w:r>
        <w:rPr>
          <w:strike/>
        </w:rPr>
        <w:t xml:space="preserve">46.06(a)(1)</w:t>
      </w:r>
      <w:r>
        <w:t xml:space="preserve">]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