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88R4025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527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rebate of the assessment on the gross receipts of electricity for certain providers of retail electric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16, Utilities Code, is amended by adding Section 16.0015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16.0015.</w:t>
      </w:r>
      <w:r>
        <w:rPr>
          <w:u w:val="single"/>
        </w:rPr>
        <w:t xml:space="preserve"> </w:t>
      </w:r>
      <w:r>
        <w:rPr>
          <w:u w:val="single"/>
        </w:rPr>
        <w:t xml:space="preserve"> </w:t>
      </w:r>
      <w:r>
        <w:rPr>
          <w:u w:val="single"/>
        </w:rPr>
        <w:t xml:space="preserve">REBATE OF ASSESSMENT FOR CERTAIN UTILITIES.  (a)  In this section, "child-care facility" and "day-care center" have the meanings assigned by Section 42.002, Human Resources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electric utility, retail electric provider, or electric cooperative that is subject to Section 16.001 and provides retail electric service to a child-care facility or day-care center at a rate that is reduced by 50 to 100 percent of the regular rate for that service is entitled to a rebate from the comptroller under this section. </w:t>
      </w:r>
      <w:r>
        <w:rPr>
          <w:u w:val="single"/>
        </w:rPr>
        <w:t xml:space="preserve"> </w:t>
      </w:r>
      <w:r>
        <w:rPr>
          <w:u w:val="single"/>
        </w:rPr>
        <w:t xml:space="preserve">The electric utility, retail electric provider, or electric cooperative is entitled to an annual or quarterly, as applicable, rebate in an amount that is equal to the amount of the total retail charges, excluding taxes and other fees, that the utility, provider, or cooperative discounted to all child-care facilities and day-care centers receiving service from the utility, provider, or cooperative during the period for which the rebate is requested. </w:t>
      </w:r>
      <w:r>
        <w:rPr>
          <w:u w:val="single"/>
        </w:rPr>
        <w:t xml:space="preserve"> </w:t>
      </w:r>
      <w:r>
        <w:rPr>
          <w:u w:val="single"/>
        </w:rPr>
        <w:t xml:space="preserve">The rebate may not exceed the total amount of assessments the electric utility, retail electric provider, or electric cooperative owes to the state under this chapter for the period for which the rebate is requested.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receive a rebate under this section, an electric utility, retail electric provider, or electric cooperative shall submit a list to the comptroller, signed under penalty of perjury, of the child-care facilities and day-care centers to which the utility, provider, or cooperative provided retail electric service at no cost or a reduced rate for the period for which the rebate is requested.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assessments due before the effective date of this Act, and the law in effect before the effective date of this Act is continued in effect for purposes of the liability for those assessments.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