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standard service and disability retirement benefits for members of the employee class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standard service retirement annuity for service credited in the employee class of membership is an amount computed as the member's average monthly compensation for service in that class for the 60 highest months of compensation multiplied by </w:t>
      </w:r>
      <w:r>
        <w:rPr>
          <w:u w:val="single"/>
        </w:rPr>
        <w:t xml:space="preserve">2.7</w:t>
      </w:r>
      <w:r>
        <w:t xml:space="preserve"> [</w:t>
      </w:r>
      <w:r>
        <w:rPr>
          <w:strike/>
        </w:rPr>
        <w:t xml:space="preserve">2.3</w:t>
      </w:r>
      <w:r>
        <w:t xml:space="preserve">] percent for each year of service credit in that class.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814.206(a),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Section 814.207, a standard disability retirement annuity for service credited in the employee class of membership is an amount computed at the rate of </w:t>
      </w:r>
      <w:r>
        <w:rPr>
          <w:u w:val="single"/>
        </w:rPr>
        <w:t xml:space="preserve">2.7</w:t>
      </w:r>
      <w:r>
        <w:t xml:space="preserve"> [</w:t>
      </w:r>
      <w:r>
        <w:rPr>
          <w:strike/>
        </w:rPr>
        <w:t xml:space="preserve">2.3</w:t>
      </w:r>
      <w:r>
        <w:t xml:space="preserve">] percent for each year of service credit in that class, times the member's average monthly compensation.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