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532</w:t>
      </w:r>
    </w:p>
    <w:p w:rsidR="003F3435" w:rsidRDefault="0032493E">
      <w:pPr>
        <w:ind w:firstLine="720"/>
        <w:jc w:val="both"/>
      </w:pPr>
      <w:r>
        <w:t xml:space="preserve">(Kuempel, González of El Paso, Anchía)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w:t>
      </w:r>
      <w:r>
        <w:rPr>
          <w:u w:val="single"/>
        </w:rPr>
        <w:t xml:space="preserve">or</w:t>
      </w:r>
      <w:r>
        <w:t xml:space="preserve"> three[</w:t>
      </w:r>
      <w:r>
        <w:rPr>
          <w:strike/>
        </w:rPr>
        <w:t xml:space="preserve">, four, or five</w:t>
      </w:r>
      <w:r>
        <w:t xml:space="preser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or three consecutive years of practice in this state as described by Subdivision (2).</w:t>
      </w:r>
      <w:r>
        <w:t xml:space="preserve"> </w:t>
      </w:r>
      <w:r>
        <w:t xml:space="preserve"> </w:t>
      </w:r>
      <w:r>
        <w:t xml:space="preserve">[</w:t>
      </w:r>
      <w:r>
        <w:rPr>
          <w:strike/>
        </w:rPr>
        <w:t xml:space="preserve">In addition to satisfying the requirements under Subsection (a), for a licensed physician to be eligible to receive repayment assistance under this subchapter after the physician's third consecutive year of practice described under Subsection (a)(2), the physician must be certified in psychiatry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American Board of Psychiatry and Neurology;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American Osteopathic Board of Neurology and Psychiatry.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not more than </w:t>
      </w:r>
      <w:r>
        <w:rPr>
          <w:u w:val="single"/>
        </w:rPr>
        <w:t xml:space="preserve">three</w:t>
      </w:r>
      <w:r>
        <w:t xml:space="preserve"> [</w:t>
      </w:r>
      <w:r>
        <w:rPr>
          <w:strike/>
        </w:rPr>
        <w:t xml:space="preserve">five</w:t>
      </w:r>
      <w:r>
        <w:t xml:space="preser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w:t>
      </w:r>
      <w:r>
        <w:rPr>
          <w:u w:val="single"/>
        </w:rPr>
        <w:t xml:space="preserve">33.33</w:t>
      </w:r>
      <w:r>
        <w:t xml:space="preserve"> [</w:t>
      </w:r>
      <w:r>
        <w:rPr>
          <w:strike/>
        </w:rPr>
        <w:t xml:space="preserve">10</w:t>
      </w:r>
      <w:r>
        <w:t xml:space="preserve">] percent;</w:t>
      </w:r>
    </w:p>
    <w:p w:rsidR="003F3435" w:rsidRDefault="0032493E">
      <w:pPr>
        <w:spacing w:line="480" w:lineRule="auto"/>
        <w:ind w:firstLine="1440"/>
        <w:jc w:val="both"/>
      </w:pPr>
      <w:r>
        <w:t xml:space="preserve">(2)</w:t>
      </w:r>
      <w:r xml:space="preserve">
        <w:t> </w:t>
      </w:r>
      <w:r xml:space="preserve">
        <w:t> </w:t>
      </w:r>
      <w:r>
        <w:t xml:space="preserve">for the second year, </w:t>
      </w:r>
      <w:r>
        <w:rPr>
          <w:u w:val="single"/>
        </w:rPr>
        <w:t xml:space="preserve">33.33</w:t>
      </w:r>
      <w:r>
        <w:t xml:space="preserve"> [</w:t>
      </w:r>
      <w:r>
        <w:rPr>
          <w:strike/>
        </w:rPr>
        <w:t xml:space="preserve">15</w:t>
      </w:r>
      <w:r>
        <w:t xml:space="preserve">] percent;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 the third year, </w:t>
      </w:r>
      <w:r>
        <w:rPr>
          <w:u w:val="single"/>
        </w:rPr>
        <w:t xml:space="preserve">33.33</w:t>
      </w:r>
      <w:r>
        <w:t xml:space="preserve"> [</w:t>
      </w:r>
      <w:r>
        <w:rPr>
          <w:strike/>
        </w:rPr>
        <w:t xml:space="preserve">20</w:t>
      </w:r>
      <w:r>
        <w:t xml:space="preserve">] percent[</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the fourth year, 25 percent;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the fifth year, 30 percent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61.608,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administer the program under this subchapter in a manner that, as program openings occur, allows for the continuous: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approval or disapproval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determination of applicant eligibility;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acceptance of eligible applicants into the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Sections 61.603, 61.604(a), and 61.607(a), Education Code, apply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